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2C9F7D">
      <w:pPr>
        <w:rPr>
          <w:rFonts w:hint="default" w:ascii="Times New Roman Regular" w:hAnsi="Times New Roman Regular" w:cs="Times New Roman Regular"/>
          <w:b/>
          <w:bCs/>
          <w:highlight w:val="none"/>
        </w:rPr>
      </w:pPr>
      <w:bookmarkStart w:id="0" w:name="_GoBack"/>
      <w:r>
        <w:rPr>
          <w:rFonts w:hint="default" w:ascii="Times New Roman Regular" w:hAnsi="Times New Roman Regular" w:cs="Times New Roman Regular"/>
          <w:b/>
          <w:bCs/>
          <w:highlight w:val="none"/>
        </w:rPr>
        <w:t>Attachment 4:</w:t>
      </w:r>
    </w:p>
    <w:p w14:paraId="32ADC2B6">
      <w:pPr>
        <w:jc w:val="center"/>
        <w:rPr>
          <w:rFonts w:hint="default" w:ascii="Times New Roman Regular" w:hAnsi="Times New Roman Regular" w:cs="Times New Roman Regular"/>
          <w:b/>
          <w:bCs/>
          <w:sz w:val="28"/>
          <w:szCs w:val="28"/>
          <w:highlight w:val="none"/>
        </w:rPr>
      </w:pPr>
      <w:r>
        <w:rPr>
          <w:rFonts w:hint="default" w:ascii="Times New Roman Regular" w:hAnsi="Times New Roman Regular" w:cs="Times New Roman Regular"/>
          <w:b/>
          <w:bCs/>
          <w:sz w:val="28"/>
          <w:szCs w:val="28"/>
          <w:highlight w:val="none"/>
          <w:lang w:val="en-US"/>
        </w:rPr>
        <w:t>2026</w:t>
      </w:r>
      <w:r>
        <w:rPr>
          <w:rFonts w:hint="default" w:ascii="Times New Roman Regular" w:hAnsi="Times New Roman Regular" w:cs="Times New Roman Regular"/>
          <w:b/>
          <w:bCs/>
          <w:sz w:val="28"/>
          <w:szCs w:val="28"/>
          <w:highlight w:val="none"/>
        </w:rPr>
        <w:t xml:space="preserve"> Wenzhou International Design Biennial</w:t>
      </w:r>
    </w:p>
    <w:p w14:paraId="174FE812">
      <w:pPr>
        <w:jc w:val="center"/>
        <w:rPr>
          <w:rFonts w:hint="default" w:ascii="Times New Roman Regular" w:hAnsi="Times New Roman Regular" w:cs="Times New Roman Regular"/>
          <w:b/>
          <w:bCs/>
          <w:sz w:val="28"/>
          <w:szCs w:val="28"/>
          <w:highlight w:val="none"/>
        </w:rPr>
      </w:pPr>
      <w:r>
        <w:rPr>
          <w:rFonts w:hint="default" w:ascii="Times New Roman Regular" w:hAnsi="Times New Roman Regular" w:cs="Times New Roman Regular"/>
          <w:b/>
          <w:bCs/>
          <w:sz w:val="28"/>
          <w:szCs w:val="28"/>
          <w:highlight w:val="none"/>
        </w:rPr>
        <w:t xml:space="preserve">Requirements and </w:t>
      </w:r>
      <w:r>
        <w:rPr>
          <w:rFonts w:hint="default" w:ascii="Times New Roman Regular" w:hAnsi="Times New Roman Regular" w:cs="Times New Roman Regular"/>
          <w:b/>
          <w:bCs/>
          <w:sz w:val="28"/>
          <w:szCs w:val="28"/>
          <w:highlight w:val="none"/>
          <w:lang w:val="en-US"/>
        </w:rPr>
        <w:t>S</w:t>
      </w:r>
      <w:r>
        <w:rPr>
          <w:rFonts w:hint="default" w:ascii="Times New Roman Regular" w:hAnsi="Times New Roman Regular" w:cs="Times New Roman Regular"/>
          <w:b/>
          <w:bCs/>
          <w:sz w:val="28"/>
          <w:szCs w:val="28"/>
          <w:highlight w:val="none"/>
        </w:rPr>
        <w:t>pecifications for</w:t>
      </w:r>
      <w:r>
        <w:rPr>
          <w:rFonts w:hint="default" w:ascii="Times New Roman Regular" w:hAnsi="Times New Roman Regular" w:cs="Times New Roman Regular"/>
          <w:b/>
          <w:bCs/>
          <w:sz w:val="28"/>
          <w:szCs w:val="28"/>
          <w:highlight w:val="none"/>
          <w:lang w:val="en-US"/>
        </w:rPr>
        <w:t xml:space="preserve"> </w:t>
      </w:r>
      <w:r>
        <w:rPr>
          <w:rFonts w:hint="default" w:ascii="Times New Roman Regular" w:hAnsi="Times New Roman Regular" w:cs="Times New Roman Regular"/>
          <w:b/>
          <w:bCs/>
          <w:sz w:val="28"/>
          <w:szCs w:val="28"/>
          <w:highlight w:val="none"/>
          <w:lang w:val="en-US" w:eastAsia="zh-CN"/>
        </w:rPr>
        <w:t>Movable-type Printing Creation Design</w:t>
      </w:r>
      <w:r>
        <w:rPr>
          <w:rFonts w:hint="default" w:ascii="Times New Roman Regular" w:hAnsi="Times New Roman Regular" w:cs="Times New Roman Regular"/>
          <w:b/>
          <w:bCs/>
          <w:sz w:val="28"/>
          <w:szCs w:val="28"/>
          <w:highlight w:val="none"/>
        </w:rPr>
        <w:t xml:space="preserve"> </w:t>
      </w:r>
      <w:r>
        <w:rPr>
          <w:rFonts w:hint="default" w:ascii="Times New Roman Regular" w:hAnsi="Times New Roman Regular" w:cs="Times New Roman Regular"/>
          <w:b/>
          <w:bCs/>
          <w:sz w:val="28"/>
          <w:szCs w:val="28"/>
          <w:highlight w:val="none"/>
          <w:lang w:val="en-US"/>
        </w:rPr>
        <w:t>C</w:t>
      </w:r>
      <w:r>
        <w:rPr>
          <w:rFonts w:hint="default" w:ascii="Times New Roman Regular" w:hAnsi="Times New Roman Regular" w:cs="Times New Roman Regular"/>
          <w:b/>
          <w:bCs/>
          <w:sz w:val="28"/>
          <w:szCs w:val="28"/>
          <w:highlight w:val="none"/>
        </w:rPr>
        <w:t>ompetition</w:t>
      </w:r>
    </w:p>
    <w:p w14:paraId="73CF9B4D">
      <w:pPr>
        <w:jc w:val="center"/>
        <w:rPr>
          <w:rFonts w:hint="default" w:ascii="Times New Roman Regular" w:hAnsi="Times New Roman Regular" w:cs="Times New Roman Regular" w:eastAsiaTheme="minorEastAsia"/>
          <w:b/>
          <w:bCs/>
          <w:sz w:val="28"/>
          <w:szCs w:val="28"/>
          <w:highlight w:val="none"/>
          <w:lang w:val="en-US" w:eastAsia="zh-CN"/>
        </w:rPr>
      </w:pPr>
    </w:p>
    <w:p w14:paraId="13CBB3A3">
      <w:pPr>
        <w:rPr>
          <w:rFonts w:hint="default" w:ascii="Times New Roman Regular" w:hAnsi="Times New Roman Regular" w:cs="Times New Roman Regular"/>
          <w:sz w:val="28"/>
          <w:szCs w:val="28"/>
          <w:highlight w:val="none"/>
        </w:rPr>
      </w:pPr>
    </w:p>
    <w:p w14:paraId="6975E62F">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Rui'anmu movable</w:t>
      </w:r>
      <w:r>
        <w:rPr>
          <w:rFonts w:hint="default" w:ascii="Times New Roman Regular" w:hAnsi="Times New Roman Regular" w:cs="Times New Roman Regular"/>
          <w:highlight w:val="none"/>
          <w:lang w:val="en-US"/>
        </w:rPr>
        <w:t>-</w:t>
      </w:r>
      <w:r>
        <w:rPr>
          <w:rFonts w:hint="default" w:ascii="Times New Roman Regular" w:hAnsi="Times New Roman Regular" w:cs="Times New Roman Regular"/>
          <w:highlight w:val="none"/>
        </w:rPr>
        <w:t>type printing technology, as the only surviving movable</w:t>
      </w:r>
      <w:r>
        <w:rPr>
          <w:rFonts w:hint="default" w:ascii="Times New Roman Regular" w:hAnsi="Times New Roman Regular" w:cs="Times New Roman Regular"/>
          <w:highlight w:val="none"/>
          <w:lang w:val="en-US"/>
        </w:rPr>
        <w:t>-</w:t>
      </w:r>
      <w:r>
        <w:rPr>
          <w:rFonts w:hint="default" w:ascii="Times New Roman Regular" w:hAnsi="Times New Roman Regular" w:cs="Times New Roman Regular"/>
          <w:highlight w:val="none"/>
        </w:rPr>
        <w:t xml:space="preserve">type printing technique still in use in China, was selected as a national intangible cultural heritage in 2008. In 2010, as an important component of "Chinese movable type printing technology", it was included in the "List of Intangible Cultural Heritage in Urgent Need of Protection" by UNESCO. This ancient technique carries the wisdom of Chinese civilization, </w:t>
      </w:r>
      <w:r>
        <w:rPr>
          <w:rFonts w:hint="default" w:ascii="Times New Roman Regular" w:hAnsi="Times New Roman Regular" w:cs="Times New Roman Regular"/>
          <w:highlight w:val="none"/>
        </w:rPr>
        <w:t xml:space="preserve">but </w:t>
      </w:r>
      <w:r>
        <w:rPr>
          <w:rFonts w:hint="default" w:ascii="Times New Roman Regular" w:hAnsi="Times New Roman Regular" w:cs="Times New Roman Regular"/>
          <w:highlight w:val="none"/>
          <w:lang w:val="en-US"/>
        </w:rPr>
        <w:t xml:space="preserve">now it </w:t>
      </w:r>
      <w:r>
        <w:rPr>
          <w:rFonts w:hint="default" w:ascii="Times New Roman Regular" w:hAnsi="Times New Roman Regular" w:cs="Times New Roman Regular"/>
          <w:highlight w:val="none"/>
        </w:rPr>
        <w:t>faces</w:t>
      </w:r>
      <w:r>
        <w:rPr>
          <w:rFonts w:hint="default" w:ascii="Times New Roman Regular" w:hAnsi="Times New Roman Regular" w:cs="Times New Roman Regular"/>
          <w:highlight w:val="none"/>
        </w:rPr>
        <w:t xml:space="preserve"> the challenge of inheritance gaps in the process of modernization.</w:t>
      </w:r>
    </w:p>
    <w:p w14:paraId="7A53B51C">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 xml:space="preserve">To solve this dilemma, </w:t>
      </w:r>
      <w:r>
        <w:rPr>
          <w:rFonts w:hint="default" w:ascii="Times New Roman Regular" w:hAnsi="Times New Roman Regular" w:cs="Times New Roman Regular"/>
          <w:highlight w:val="none"/>
          <w:lang w:val="en-US"/>
        </w:rPr>
        <w:t>the</w:t>
      </w:r>
      <w:r>
        <w:rPr>
          <w:rFonts w:hint="default" w:ascii="Times New Roman Regular" w:hAnsi="Times New Roman Regular" w:cs="Times New Roman Regular"/>
          <w:highlight w:val="none"/>
        </w:rPr>
        <w:t xml:space="preserve"> competition</w:t>
      </w:r>
      <w:r>
        <w:rPr>
          <w:rFonts w:hint="default" w:ascii="Times New Roman Regular" w:hAnsi="Times New Roman Regular" w:cs="Times New Roman Regular"/>
          <w:highlight w:val="none"/>
        </w:rPr>
        <w:t xml:space="preserve"> takes "national participation, cross-border integration, and dynamic inheritance" as its core concept, and sets up a special design</w:t>
      </w:r>
      <w:r>
        <w:rPr>
          <w:rFonts w:hint="default" w:ascii="Times New Roman Regular" w:hAnsi="Times New Roman Regular" w:cs="Times New Roman Regular"/>
          <w:highlight w:val="none"/>
          <w:lang w:val="en-US"/>
        </w:rPr>
        <w:t xml:space="preserve"> competition </w:t>
      </w:r>
      <w:r>
        <w:rPr>
          <w:rFonts w:hint="default" w:ascii="Times New Roman Regular" w:hAnsi="Times New Roman Regular" w:cs="Times New Roman Regular"/>
          <w:highlight w:val="none"/>
        </w:rPr>
        <w:t xml:space="preserve">called </w:t>
      </w:r>
      <w:r>
        <w:rPr>
          <w:rFonts w:hint="default" w:ascii="Times New Roman Regular" w:hAnsi="Times New Roman Regular" w:cs="Times New Roman Regular"/>
          <w:highlight w:val="none"/>
        </w:rPr>
        <w:t>"</w:t>
      </w:r>
      <w:r>
        <w:rPr>
          <w:rFonts w:hint="default" w:ascii="Times New Roman Regular" w:hAnsi="Times New Roman Regular" w:cs="Times New Roman Regular"/>
          <w:highlight w:val="none"/>
          <w:lang w:val="en-US" w:eastAsia="zh-CN"/>
        </w:rPr>
        <w:t>Movable-type Printing Creation Design Competition: Movable-type Printing Public Innovation Plan</w:t>
      </w:r>
      <w:r>
        <w:rPr>
          <w:rFonts w:hint="default" w:ascii="Times New Roman Regular" w:hAnsi="Times New Roman Regular" w:cs="Times New Roman Regular"/>
          <w:highlight w:val="none"/>
        </w:rPr>
        <w:t>"</w:t>
      </w:r>
      <w:r>
        <w:rPr>
          <w:rFonts w:hint="default" w:ascii="Times New Roman Regular" w:hAnsi="Times New Roman Regular" w:cs="Times New Roman Regular"/>
          <w:highlight w:val="none"/>
        </w:rPr>
        <w:t xml:space="preserve"> to promote the transformation of </w:t>
      </w:r>
      <w:r>
        <w:rPr>
          <w:rFonts w:hint="default" w:ascii="Times New Roman Regular" w:hAnsi="Times New Roman Regular" w:cs="Times New Roman Regular"/>
          <w:highlight w:val="none"/>
        </w:rPr>
        <w:t>wood</w:t>
      </w:r>
      <w:r>
        <w:rPr>
          <w:rFonts w:hint="eastAsia" w:ascii="Times New Roman Regular" w:hAnsi="Times New Roman Regular" w:cs="Times New Roman Regular"/>
          <w:highlight w:val="none"/>
          <w:lang w:val="en-US" w:eastAsia="zh-CN"/>
        </w:rPr>
        <w:t>en</w:t>
      </w:r>
      <w:r>
        <w:rPr>
          <w:rFonts w:hint="default" w:ascii="Times New Roman Regular" w:hAnsi="Times New Roman Regular" w:cs="Times New Roman Regular"/>
          <w:highlight w:val="none"/>
        </w:rPr>
        <w:t xml:space="preserve"> typ</w:t>
      </w:r>
      <w:r>
        <w:rPr>
          <w:rFonts w:hint="eastAsia" w:ascii="Times New Roman Regular" w:hAnsi="Times New Roman Regular" w:cs="Times New Roman Regular"/>
          <w:highlight w:val="none"/>
          <w:lang w:val="en-US" w:eastAsia="zh-CN"/>
        </w:rPr>
        <w:t>ography</w:t>
      </w:r>
      <w:r>
        <w:rPr>
          <w:rFonts w:hint="default" w:ascii="Times New Roman Regular" w:hAnsi="Times New Roman Regular" w:cs="Times New Roman Regular"/>
          <w:highlight w:val="none"/>
        </w:rPr>
        <w:t xml:space="preserve"> technology from "static protection" to "dynamic inheritance".</w:t>
      </w:r>
    </w:p>
    <w:p w14:paraId="2CCB9059">
      <w:pPr>
        <w:numPr>
          <w:ilvl w:val="0"/>
          <w:numId w:val="1"/>
        </w:numPr>
        <w:rPr>
          <w:rFonts w:hint="default" w:ascii="Times New Roman Regular" w:hAnsi="Times New Roman Regular" w:cs="Times New Roman Regular"/>
          <w:b/>
          <w:bCs/>
          <w:highlight w:val="none"/>
          <w:lang w:val="en-US"/>
        </w:rPr>
      </w:pPr>
      <w:r>
        <w:rPr>
          <w:rFonts w:hint="default" w:ascii="Times New Roman Regular" w:hAnsi="Times New Roman Regular" w:cs="Times New Roman Regular"/>
          <w:b/>
          <w:bCs/>
          <w:highlight w:val="none"/>
        </w:rPr>
        <w:t>Scope</w:t>
      </w:r>
      <w:r>
        <w:rPr>
          <w:rFonts w:hint="default" w:ascii="Times New Roman Regular" w:hAnsi="Times New Roman Regular" w:cs="Times New Roman Regular"/>
          <w:b/>
          <w:bCs/>
          <w:highlight w:val="none"/>
          <w:lang w:val="en-US"/>
        </w:rPr>
        <w:t xml:space="preserve"> of works </w:t>
      </w:r>
    </w:p>
    <w:p w14:paraId="261AFCCF">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1.</w:t>
      </w:r>
      <w:r>
        <w:rPr>
          <w:rFonts w:hint="default" w:ascii="Times New Roman Regular" w:hAnsi="Times New Roman Regular" w:cs="Times New Roman Regular"/>
          <w:b/>
          <w:bCs/>
          <w:highlight w:val="none"/>
          <w:lang w:val="en-US"/>
        </w:rPr>
        <w:t>1</w:t>
      </w:r>
      <w:r>
        <w:rPr>
          <w:rFonts w:hint="default" w:ascii="Times New Roman Regular" w:hAnsi="Times New Roman Regular" w:cs="Times New Roman Regular"/>
          <w:b/>
          <w:bCs/>
          <w:highlight w:val="none"/>
        </w:rPr>
        <w:t xml:space="preserve"> Life aesthetic products</w:t>
      </w:r>
    </w:p>
    <w:p w14:paraId="746AEF75">
      <w:pPr>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val="en-US" w:eastAsia="zh-CN"/>
        </w:rPr>
        <w:t xml:space="preserve">Including </w:t>
      </w:r>
      <w:r>
        <w:rPr>
          <w:rFonts w:hint="default" w:ascii="Times New Roman Regular" w:hAnsi="Times New Roman Regular" w:cs="Times New Roman Regular"/>
          <w:highlight w:val="none"/>
        </w:rPr>
        <w:t>consumer goods, lighting fixtures, tea sets, stationery, home furnishings, incense burners, gifts, etc. that enter daily life.</w:t>
      </w:r>
    </w:p>
    <w:p w14:paraId="62BE946B">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lang w:val="en-US"/>
        </w:rPr>
        <w:t>1.</w:t>
      </w:r>
      <w:r>
        <w:rPr>
          <w:rFonts w:hint="default" w:ascii="Times New Roman Regular" w:hAnsi="Times New Roman Regular" w:cs="Times New Roman Regular"/>
          <w:b/>
          <w:bCs/>
          <w:highlight w:val="none"/>
        </w:rPr>
        <w:t>2 Teaching aids experience package</w:t>
      </w:r>
    </w:p>
    <w:p w14:paraId="0C8F2801">
      <w:pPr>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val="en-US" w:eastAsia="zh-CN"/>
        </w:rPr>
        <w:t xml:space="preserve">Including </w:t>
      </w:r>
      <w:r>
        <w:rPr>
          <w:rFonts w:hint="default" w:ascii="Times New Roman Regular" w:hAnsi="Times New Roman Regular" w:cs="Times New Roman Regular"/>
          <w:highlight w:val="none"/>
        </w:rPr>
        <w:t>lettering toolkit</w:t>
      </w:r>
      <w:r>
        <w:rPr>
          <w:rFonts w:hint="eastAsia" w:ascii="Times New Roman Regular" w:hAnsi="Times New Roman Regular" w:cs="Times New Roman Regular"/>
          <w:highlight w:val="none"/>
          <w:lang w:val="en-US" w:eastAsia="zh-CN"/>
        </w:rPr>
        <w:t>s</w:t>
      </w:r>
      <w:r>
        <w:rPr>
          <w:rFonts w:hint="default" w:ascii="Times New Roman Regular" w:hAnsi="Times New Roman Regular" w:cs="Times New Roman Regular"/>
          <w:highlight w:val="none"/>
        </w:rPr>
        <w:t>, portable typesetting box, printing experience set, etc. used for intangible cultural heritage education/experience scenarios.</w:t>
      </w:r>
    </w:p>
    <w:p w14:paraId="2E6619A2">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lang w:val="en-US"/>
        </w:rPr>
        <w:t>1.</w:t>
      </w:r>
      <w:r>
        <w:rPr>
          <w:rFonts w:hint="default" w:ascii="Times New Roman Regular" w:hAnsi="Times New Roman Regular" w:cs="Times New Roman Regular"/>
          <w:b/>
          <w:bCs/>
          <w:highlight w:val="none"/>
        </w:rPr>
        <w:t>3 Public art or facilities</w:t>
      </w:r>
    </w:p>
    <w:p w14:paraId="4E0AB483">
      <w:pPr>
        <w:rPr>
          <w:rFonts w:hint="default" w:ascii="Times New Roman Regular" w:hAnsi="Times New Roman Regular" w:cs="Times New Roman Regular"/>
          <w:highlight w:val="none"/>
        </w:rPr>
      </w:pPr>
      <w:r>
        <w:rPr>
          <w:rFonts w:hint="eastAsia" w:ascii="Times New Roman Regular" w:hAnsi="Times New Roman Regular" w:cs="Times New Roman Regular"/>
          <w:highlight w:val="none"/>
          <w:lang w:val="en-US" w:eastAsia="zh-CN"/>
        </w:rPr>
        <w:t xml:space="preserve">Including </w:t>
      </w:r>
      <w:r>
        <w:rPr>
          <w:rFonts w:hint="default" w:ascii="Times New Roman Regular" w:hAnsi="Times New Roman Regular" w:cs="Times New Roman Regular"/>
          <w:highlight w:val="none"/>
        </w:rPr>
        <w:t>wooden movable type application landscape installations, interactive walls, public seating, signage systems, etc. in urban, community, and cultural spaces</w:t>
      </w:r>
    </w:p>
    <w:p w14:paraId="3F1C59DB">
      <w:pPr>
        <w:rPr>
          <w:rFonts w:hint="default" w:ascii="Times New Roman Regular" w:hAnsi="Times New Roman Regular" w:cs="Times New Roman Regular"/>
          <w:highlight w:val="none"/>
        </w:rPr>
      </w:pPr>
    </w:p>
    <w:p w14:paraId="37BA60FA">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lang w:val="en-US"/>
        </w:rPr>
        <w:t>E</w:t>
      </w:r>
      <w:r>
        <w:rPr>
          <w:rFonts w:hint="default" w:ascii="Times New Roman Regular" w:hAnsi="Times New Roman Regular" w:cs="Times New Roman Regular"/>
          <w:highlight w:val="none"/>
        </w:rPr>
        <w:t xml:space="preserve">ligible </w:t>
      </w:r>
      <w:r>
        <w:rPr>
          <w:rFonts w:hint="default" w:ascii="Times New Roman Regular" w:hAnsi="Times New Roman Regular" w:cs="Times New Roman Regular"/>
          <w:highlight w:val="none"/>
          <w:lang w:val="en-US"/>
        </w:rPr>
        <w:t>p</w:t>
      </w:r>
      <w:r>
        <w:rPr>
          <w:rFonts w:hint="default" w:ascii="Times New Roman Regular" w:hAnsi="Times New Roman Regular" w:cs="Times New Roman Regular"/>
          <w:highlight w:val="none"/>
        </w:rPr>
        <w:t>roducts</w:t>
      </w:r>
      <w:r>
        <w:rPr>
          <w:rFonts w:hint="eastAsia" w:ascii="Times New Roman Regular" w:hAnsi="Times New Roman Regular" w:cs="Times New Roman Regular"/>
          <w:highlight w:val="none"/>
          <w:lang w:val="en-US" w:eastAsia="zh-CN"/>
        </w:rPr>
        <w:t xml:space="preserve"> are</w:t>
      </w:r>
      <w:r>
        <w:rPr>
          <w:rFonts w:hint="default" w:ascii="Times New Roman Regular" w:hAnsi="Times New Roman Regular" w:cs="Times New Roman Regular"/>
          <w:highlight w:val="none"/>
        </w:rPr>
        <w:t xml:space="preserve"> includ</w:t>
      </w:r>
      <w:r>
        <w:rPr>
          <w:rFonts w:hint="default" w:ascii="Times New Roman Regular" w:hAnsi="Times New Roman Regular" w:cs="Times New Roman Regular"/>
          <w:highlight w:val="none"/>
          <w:lang w:val="en-US"/>
        </w:rPr>
        <w:t>e</w:t>
      </w:r>
      <w:r>
        <w:rPr>
          <w:rFonts w:hint="eastAsia" w:ascii="Times New Roman Regular" w:hAnsi="Times New Roman Regular" w:cs="Times New Roman Regular"/>
          <w:highlight w:val="none"/>
          <w:lang w:val="en-US" w:eastAsia="zh-CN"/>
        </w:rPr>
        <w:t>d</w:t>
      </w:r>
      <w:r>
        <w:rPr>
          <w:rFonts w:hint="default" w:ascii="Times New Roman Regular" w:hAnsi="Times New Roman Regular" w:cs="Times New Roman Regular"/>
          <w:highlight w:val="none"/>
        </w:rPr>
        <w:t xml:space="preserve"> but not limited to</w:t>
      </w:r>
      <w:r>
        <w:rPr>
          <w:rFonts w:hint="default" w:ascii="Times New Roman Regular" w:hAnsi="Times New Roman Regular" w:cs="Times New Roman Regular"/>
          <w:highlight w:val="none"/>
          <w:lang w:val="en-US"/>
        </w:rPr>
        <w:t xml:space="preserve"> products used in </w:t>
      </w:r>
      <w:r>
        <w:rPr>
          <w:rFonts w:hint="default" w:ascii="Times New Roman Regular" w:hAnsi="Times New Roman Regular" w:cs="Times New Roman Regular"/>
          <w:highlight w:val="none"/>
        </w:rPr>
        <w:t>daily life and production.</w:t>
      </w:r>
    </w:p>
    <w:p w14:paraId="42E61233">
      <w:pPr>
        <w:rPr>
          <w:rFonts w:hint="default" w:ascii="Times New Roman Regular" w:hAnsi="Times New Roman Regular" w:cs="Times New Roman Regular"/>
          <w:highlight w:val="none"/>
        </w:rPr>
      </w:pPr>
    </w:p>
    <w:p w14:paraId="57FAB45E">
      <w:pPr>
        <w:numPr>
          <w:ilvl w:val="0"/>
          <w:numId w:val="1"/>
        </w:numPr>
        <w:ind w:left="0" w:leftChars="0" w:firstLine="0" w:firstLineChars="0"/>
        <w:rPr>
          <w:rFonts w:hint="default" w:ascii="Times New Roman Regular" w:hAnsi="Times New Roman Regular" w:cs="Times New Roman Regular"/>
          <w:b/>
          <w:bCs/>
          <w:highlight w:val="none"/>
          <w:lang w:val="en-US"/>
        </w:rPr>
      </w:pPr>
      <w:r>
        <w:rPr>
          <w:rFonts w:hint="default" w:ascii="Times New Roman Regular" w:hAnsi="Times New Roman Regular" w:cs="Times New Roman Regular"/>
          <w:b/>
          <w:bCs/>
          <w:highlight w:val="none"/>
          <w:lang w:val="en-US" w:eastAsia="zh-CN"/>
        </w:rPr>
        <w:t>S</w:t>
      </w:r>
      <w:r>
        <w:rPr>
          <w:rFonts w:hint="default" w:ascii="Times New Roman Regular" w:hAnsi="Times New Roman Regular" w:cs="Times New Roman Regular"/>
          <w:b/>
          <w:bCs/>
          <w:highlight w:val="none"/>
          <w:lang w:val="en-US"/>
        </w:rPr>
        <w:t>pecifications of submission</w:t>
      </w:r>
    </w:p>
    <w:p w14:paraId="059D267B">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1. Display board image</w:t>
      </w:r>
    </w:p>
    <w:p w14:paraId="63DFF9EA">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One vertical display board, arranged in a 700mm × 1000mm vertical pattern, with a resolution of 300dpi. In addition to simple design instructions, the image content should reflect the overall picture of the work, and hardware products should be labeled with information such as the size (length x width x height cm) and material of the work. It is required to have multiple angles, reference objects, and reflect the original appearance of the work as much as possible;</w:t>
      </w:r>
    </w:p>
    <w:p w14:paraId="114A1632">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image format should be unified as jpg or CMYK mode, and the size of a single image should not exceed 80M. The graphic should include a brief design description that can assist in explaining the design intention and features of the work. The number of characters is not limited, but the language and text should be Chinese (traditional or simplified) or English. The display board should have a graphic recognition template for the Wenzhou International Design Biennial, which can be downloaded from the official website (http://wzdb. zjcst. edu. cn/).</w:t>
      </w:r>
    </w:p>
    <w:p w14:paraId="09BCB039">
      <w:pPr>
        <w:rPr>
          <w:rFonts w:hint="default" w:ascii="Times New Roman Regular" w:hAnsi="Times New Roman Regular" w:cs="Times New Roman Regular"/>
          <w:highlight w:val="none"/>
        </w:rPr>
      </w:pPr>
    </w:p>
    <w:p w14:paraId="4F41F362">
      <w:pPr>
        <w:jc w:val="cente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drawing>
          <wp:inline distT="0" distB="0" distL="114300" distR="114300">
            <wp:extent cx="2388235" cy="3433445"/>
            <wp:effectExtent l="0" t="0" r="12065" b="1460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388235" cy="3433445"/>
                    </a:xfrm>
                    <a:prstGeom prst="rect">
                      <a:avLst/>
                    </a:prstGeom>
                    <a:noFill/>
                    <a:ln>
                      <a:noFill/>
                    </a:ln>
                  </pic:spPr>
                </pic:pic>
              </a:graphicData>
            </a:graphic>
          </wp:inline>
        </w:drawing>
      </w:r>
    </w:p>
    <w:p w14:paraId="6547841D">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2. Works review images</w:t>
      </w:r>
    </w:p>
    <w:p w14:paraId="3707260D">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image format is unified as JPG, with one 210mm * 290mm image and a brief design description attached. Horizontal and vertical unlimited, resolution of 300dpi, RGB mode. The size of a single image should not exceed 20M.</w:t>
      </w:r>
    </w:p>
    <w:p w14:paraId="787C269D">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3. Video file description</w:t>
      </w:r>
    </w:p>
    <w:p w14:paraId="62663AE1">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Additional videos and roaming animations can be added, which is an additional item and not a mandatory requirement. The video format is MP4, and the demonstration video in the same competition topic should not exceed 100M, not be less than 20M, with a clarity of 1080p, a time limit of no more than 5 minutes, and a display ratio of 16:9 to ensure image quality.</w:t>
      </w:r>
    </w:p>
    <w:p w14:paraId="2D782187">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4. Work description</w:t>
      </w:r>
    </w:p>
    <w:p w14:paraId="21036047">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lang w:val="en-US" w:eastAsia="zh-CN"/>
        </w:rPr>
        <w:t>The description should be w</w:t>
      </w:r>
      <w:r>
        <w:rPr>
          <w:rFonts w:hint="default" w:ascii="Times New Roman Regular" w:hAnsi="Times New Roman Regular" w:cs="Times New Roman Regular"/>
          <w:highlight w:val="none"/>
        </w:rPr>
        <w:t xml:space="preserve">ithin 500 words, </w:t>
      </w:r>
      <w:r>
        <w:rPr>
          <w:rFonts w:hint="default" w:ascii="Times New Roman Regular" w:hAnsi="Times New Roman Regular" w:cs="Times New Roman Regular"/>
          <w:highlight w:val="none"/>
          <w:lang w:val="en-US"/>
        </w:rPr>
        <w:t>and</w:t>
      </w:r>
      <w:r>
        <w:rPr>
          <w:rFonts w:hint="default" w:ascii="Times New Roman Regular" w:hAnsi="Times New Roman Regular" w:cs="Times New Roman Regular"/>
          <w:highlight w:val="none"/>
          <w:lang w:val="en-US"/>
        </w:rPr>
        <w:t xml:space="preserve"> </w:t>
      </w:r>
      <w:r>
        <w:rPr>
          <w:rFonts w:hint="default" w:ascii="Times New Roman Regular" w:hAnsi="Times New Roman Regular" w:cs="Times New Roman Regular"/>
          <w:highlight w:val="none"/>
        </w:rPr>
        <w:t>able to clearly express the creative ideas, content, sources of inspiration, application of cultural elements, and usage scenarios of the work.</w:t>
      </w:r>
    </w:p>
    <w:p w14:paraId="424B7FC9">
      <w:p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3、 Award Setting</w:t>
      </w:r>
    </w:p>
    <w:p w14:paraId="7D009344">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This competition has one gold award, two silver awards, four bronze awards, and several design awards. Winners will receive a certificate of award and corresponding prize money (before tax).</w:t>
      </w:r>
    </w:p>
    <w:p w14:paraId="04D772C8">
      <w:p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The bonus amount is as follows:</w:t>
      </w:r>
    </w:p>
    <w:tbl>
      <w:tblPr>
        <w:tblStyle w:val="3"/>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718"/>
        <w:gridCol w:w="1320"/>
        <w:gridCol w:w="1320"/>
        <w:gridCol w:w="1120"/>
        <w:gridCol w:w="1120"/>
      </w:tblGrid>
      <w:tr w14:paraId="287B7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18"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B8830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cs="Times New Roman Regular"/>
                <w:b/>
                <w:bCs/>
                <w:color w:val="333333"/>
                <w:sz w:val="21"/>
                <w:szCs w:val="21"/>
                <w:highlight w:val="none"/>
                <w:u w:val="none"/>
                <w:lang w:val="en-US" w:eastAsia="zh-CN"/>
              </w:rPr>
              <w:t>C</w:t>
            </w:r>
            <w:r>
              <w:rPr>
                <w:rFonts w:hint="default" w:ascii="Times New Roman Regular" w:hAnsi="Times New Roman Regular" w:eastAsia="宋体" w:cs="Times New Roman Regular"/>
                <w:b/>
                <w:bCs/>
                <w:color w:val="333333"/>
                <w:sz w:val="21"/>
                <w:szCs w:val="21"/>
                <w:highlight w:val="none"/>
                <w:u w:val="none"/>
                <w:lang w:val="en-US" w:eastAsia="zh-CN"/>
              </w:rPr>
              <w:t>ategory</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top"/>
          </w:tcPr>
          <w:p w14:paraId="05B9DC3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Regular" w:hAnsi="Times New Roman Regular" w:eastAsia="宋体" w:cs="Times New Roman Regular"/>
                <w:b/>
                <w:bCs/>
                <w:color w:val="333333"/>
                <w:kern w:val="0"/>
                <w:sz w:val="21"/>
                <w:szCs w:val="21"/>
                <w:highlight w:val="none"/>
                <w:u w:val="none"/>
                <w:lang w:val="en-US" w:eastAsia="zh-CN" w:bidi="ar"/>
              </w:rPr>
            </w:pPr>
            <w:r>
              <w:rPr>
                <w:rFonts w:hint="default" w:ascii="Times New Roman Regular" w:hAnsi="Times New Roman Regular" w:cs="Times New Roman Regular"/>
                <w:b/>
                <w:bCs/>
                <w:color w:val="333333"/>
                <w:sz w:val="21"/>
                <w:szCs w:val="21"/>
                <w:highlight w:val="none"/>
                <w:u w:val="none"/>
                <w:lang w:val="en-US"/>
              </w:rPr>
              <w:t>G</w:t>
            </w:r>
            <w:r>
              <w:rPr>
                <w:rFonts w:hint="default" w:ascii="Times New Roman Regular" w:hAnsi="Times New Roman Regular" w:eastAsia="宋体" w:cs="Times New Roman Regular"/>
                <w:b/>
                <w:bCs/>
                <w:color w:val="333333"/>
                <w:sz w:val="21"/>
                <w:szCs w:val="21"/>
                <w:highlight w:val="none"/>
                <w:u w:val="none"/>
              </w:rPr>
              <w:t>old award</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top"/>
          </w:tcPr>
          <w:p w14:paraId="17E74D3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Regular" w:hAnsi="Times New Roman Regular" w:eastAsia="宋体" w:cs="Times New Roman Regular"/>
                <w:b/>
                <w:bCs/>
                <w:color w:val="333333"/>
                <w:kern w:val="0"/>
                <w:sz w:val="21"/>
                <w:szCs w:val="21"/>
                <w:highlight w:val="none"/>
                <w:u w:val="none"/>
                <w:lang w:val="en-US" w:eastAsia="zh-CN" w:bidi="ar"/>
              </w:rPr>
            </w:pPr>
            <w:r>
              <w:rPr>
                <w:rFonts w:hint="default" w:ascii="Times New Roman Regular" w:hAnsi="Times New Roman Regular" w:eastAsia="宋体" w:cs="Times New Roman Regular"/>
                <w:b/>
                <w:bCs/>
                <w:color w:val="333333"/>
                <w:sz w:val="21"/>
                <w:szCs w:val="21"/>
                <w:highlight w:val="none"/>
                <w:u w:val="none"/>
              </w:rPr>
              <w:t>Silver Award</w:t>
            </w:r>
          </w:p>
        </w:tc>
        <w:tc>
          <w:tcPr>
            <w:tcW w:w="1120" w:type="dxa"/>
            <w:tcBorders>
              <w:top w:val="single" w:color="auto" w:sz="4" w:space="0"/>
              <w:left w:val="single" w:color="auto" w:sz="4" w:space="0"/>
              <w:bottom w:val="single" w:color="auto" w:sz="4" w:space="0"/>
              <w:right w:val="single" w:color="auto" w:sz="4" w:space="0"/>
            </w:tcBorders>
            <w:shd w:val="clear" w:color="auto" w:fill="auto"/>
            <w:noWrap w:val="0"/>
            <w:tcMar>
              <w:left w:w="70" w:type="dxa"/>
              <w:right w:w="70" w:type="dxa"/>
            </w:tcMar>
            <w:vAlign w:val="top"/>
          </w:tcPr>
          <w:p w14:paraId="597B131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leftChars="0" w:right="0" w:rightChars="0" w:firstLine="0" w:firstLineChars="0"/>
              <w:jc w:val="left"/>
              <w:textAlignment w:val="auto"/>
              <w:rPr>
                <w:rFonts w:hint="default" w:ascii="Times New Roman Regular" w:hAnsi="Times New Roman Regular" w:eastAsia="宋体" w:cs="Times New Roman Regular"/>
                <w:b/>
                <w:bCs/>
                <w:color w:val="333333"/>
                <w:kern w:val="0"/>
                <w:sz w:val="21"/>
                <w:szCs w:val="21"/>
                <w:highlight w:val="none"/>
                <w:u w:val="none"/>
                <w:lang w:val="en-US" w:eastAsia="zh-CN" w:bidi="ar"/>
              </w:rPr>
            </w:pPr>
            <w:r>
              <w:rPr>
                <w:rFonts w:hint="default" w:ascii="Times New Roman Regular" w:hAnsi="Times New Roman Regular" w:eastAsia="宋体" w:cs="Times New Roman Regular"/>
                <w:b/>
                <w:bCs/>
                <w:color w:val="333333"/>
                <w:sz w:val="21"/>
                <w:szCs w:val="21"/>
                <w:highlight w:val="none"/>
                <w:u w:val="none"/>
              </w:rPr>
              <w:t>Bronze Award</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5168852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b/>
                <w:bCs/>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Design Award</w:t>
            </w:r>
          </w:p>
        </w:tc>
      </w:tr>
      <w:tr w14:paraId="2D1AE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1718"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10C90C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left="0" w:right="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b/>
                <w:bCs/>
                <w:color w:val="333333"/>
                <w:sz w:val="21"/>
                <w:szCs w:val="21"/>
                <w:highlight w:val="none"/>
                <w:u w:val="none"/>
              </w:rPr>
              <w:t>Product</w:t>
            </w:r>
          </w:p>
        </w:tc>
        <w:tc>
          <w:tcPr>
            <w:tcW w:w="13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338D65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auto"/>
                <w:sz w:val="21"/>
                <w:szCs w:val="21"/>
                <w:highlight w:val="none"/>
                <w:u w:val="none"/>
              </w:rPr>
              <w:t>10000</w:t>
            </w:r>
          </w:p>
        </w:tc>
        <w:tc>
          <w:tcPr>
            <w:tcW w:w="13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1105854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cs="Times New Roman Regular"/>
                <w:color w:val="auto"/>
                <w:sz w:val="21"/>
                <w:szCs w:val="21"/>
                <w:highlight w:val="none"/>
                <w:u w:val="none"/>
                <w:lang w:val="en-US" w:eastAsia="zh-CN"/>
              </w:rPr>
              <w:t>5</w:t>
            </w:r>
            <w:r>
              <w:rPr>
                <w:rFonts w:hint="default" w:ascii="Times New Roman Regular" w:hAnsi="Times New Roman Regular" w:eastAsia="宋体" w:cs="Times New Roman Regular"/>
                <w:color w:val="auto"/>
                <w:sz w:val="21"/>
                <w:szCs w:val="21"/>
                <w:highlight w:val="none"/>
                <w:u w:val="none"/>
              </w:rPr>
              <w:t>000</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4DFEF4F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cs="Times New Roman Regular"/>
                <w:color w:val="auto"/>
                <w:sz w:val="21"/>
                <w:szCs w:val="21"/>
                <w:highlight w:val="none"/>
                <w:u w:val="none"/>
                <w:lang w:val="en-US" w:eastAsia="zh-CN"/>
              </w:rPr>
              <w:t>3</w:t>
            </w:r>
            <w:r>
              <w:rPr>
                <w:rFonts w:hint="default" w:ascii="Times New Roman Regular" w:hAnsi="Times New Roman Regular" w:eastAsia="宋体" w:cs="Times New Roman Regular"/>
                <w:color w:val="auto"/>
                <w:sz w:val="21"/>
                <w:szCs w:val="21"/>
                <w:highlight w:val="none"/>
                <w:u w:val="none"/>
              </w:rPr>
              <w:t>000</w:t>
            </w:r>
          </w:p>
        </w:tc>
        <w:tc>
          <w:tcPr>
            <w:tcW w:w="1120" w:type="dxa"/>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01B902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0" w:firstLineChars="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cs="Times New Roman Regular"/>
                <w:color w:val="auto"/>
                <w:sz w:val="21"/>
                <w:szCs w:val="21"/>
                <w:highlight w:val="none"/>
                <w:u w:val="none"/>
                <w:lang w:val="en-US" w:eastAsia="zh-CN"/>
              </w:rPr>
              <w:t>1000</w:t>
            </w:r>
          </w:p>
        </w:tc>
      </w:tr>
      <w:tr w14:paraId="616F3E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6598" w:type="dxa"/>
            <w:gridSpan w:val="5"/>
            <w:tcBorders>
              <w:top w:val="single" w:color="auto" w:sz="4" w:space="0"/>
              <w:left w:val="single" w:color="auto" w:sz="4" w:space="0"/>
              <w:bottom w:val="single" w:color="auto" w:sz="4" w:space="0"/>
              <w:right w:val="single" w:color="auto" w:sz="4" w:space="0"/>
            </w:tcBorders>
            <w:noWrap w:val="0"/>
            <w:tcMar>
              <w:left w:w="70" w:type="dxa"/>
              <w:right w:w="70" w:type="dxa"/>
            </w:tcMar>
            <w:vAlign w:val="top"/>
          </w:tcPr>
          <w:p w14:paraId="6F84139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exact"/>
              <w:ind w:right="0"/>
              <w:jc w:val="left"/>
              <w:textAlignment w:val="auto"/>
              <w:rPr>
                <w:rFonts w:hint="default" w:ascii="Times New Roman Regular" w:hAnsi="Times New Roman Regular" w:eastAsia="宋体" w:cs="Times New Roman Regular"/>
                <w:color w:val="333333"/>
                <w:sz w:val="21"/>
                <w:szCs w:val="21"/>
                <w:highlight w:val="none"/>
                <w:u w:val="none"/>
              </w:rPr>
            </w:pPr>
            <w:r>
              <w:rPr>
                <w:rFonts w:hint="default" w:ascii="Times New Roman Regular" w:hAnsi="Times New Roman Regular" w:eastAsia="宋体" w:cs="Times New Roman Regular"/>
                <w:color w:val="333333"/>
                <w:sz w:val="21"/>
                <w:szCs w:val="21"/>
                <w:highlight w:val="none"/>
                <w:u w:val="none"/>
              </w:rPr>
              <w:t>The</w:t>
            </w:r>
            <w:r>
              <w:rPr>
                <w:rFonts w:hint="default" w:ascii="Times New Roman Regular" w:hAnsi="Times New Roman Regular" w:cs="Times New Roman Regular"/>
                <w:color w:val="333333"/>
                <w:sz w:val="21"/>
                <w:szCs w:val="21"/>
                <w:highlight w:val="none"/>
                <w:u w:val="none"/>
                <w:lang w:val="en-US" w:eastAsia="zh-CN"/>
              </w:rPr>
              <w:t xml:space="preserve"> </w:t>
            </w:r>
            <w:r>
              <w:rPr>
                <w:rFonts w:hint="default" w:ascii="Times New Roman Regular" w:hAnsi="Times New Roman Regular" w:eastAsia="宋体" w:cs="Times New Roman Regular"/>
                <w:color w:val="333333"/>
                <w:sz w:val="21"/>
                <w:szCs w:val="21"/>
                <w:highlight w:val="none"/>
                <w:u w:val="none"/>
              </w:rPr>
              <w:t xml:space="preserve">prize includes model fees: the winning work model will be collected by the competition party. If the participating work is not suitable for collection, a reduced version model can be made. If the value of the work exceeds the bonus, </w:t>
            </w:r>
            <w:r>
              <w:rPr>
                <w:rFonts w:hint="default" w:ascii="Times New Roman Regular" w:hAnsi="Times New Roman Regular" w:cs="Times New Roman Regular"/>
                <w:color w:val="333333"/>
                <w:sz w:val="21"/>
                <w:szCs w:val="21"/>
                <w:highlight w:val="none"/>
                <w:u w:val="none"/>
                <w:lang w:val="en-US" w:eastAsia="zh-CN"/>
              </w:rPr>
              <w:t xml:space="preserve">participants can </w:t>
            </w:r>
            <w:r>
              <w:rPr>
                <w:rFonts w:hint="default" w:ascii="Times New Roman Regular" w:hAnsi="Times New Roman Regular" w:eastAsia="宋体" w:cs="Times New Roman Regular"/>
                <w:color w:val="333333"/>
                <w:sz w:val="21"/>
                <w:szCs w:val="21"/>
                <w:highlight w:val="none"/>
                <w:u w:val="none"/>
              </w:rPr>
              <w:t xml:space="preserve">negotiate </w:t>
            </w:r>
            <w:r>
              <w:rPr>
                <w:rFonts w:hint="default" w:ascii="Times New Roman Regular" w:hAnsi="Times New Roman Regular" w:cs="Times New Roman Regular"/>
                <w:color w:val="333333"/>
                <w:sz w:val="21"/>
                <w:szCs w:val="21"/>
                <w:highlight w:val="none"/>
                <w:u w:val="none"/>
                <w:lang w:val="en-US" w:eastAsia="zh-CN"/>
              </w:rPr>
              <w:t>with the committee</w:t>
            </w:r>
            <w:r>
              <w:rPr>
                <w:rFonts w:hint="default" w:ascii="Times New Roman Regular" w:hAnsi="Times New Roman Regular" w:cs="Times New Roman Regular"/>
                <w:color w:val="333333"/>
                <w:sz w:val="21"/>
                <w:szCs w:val="21"/>
                <w:highlight w:val="none"/>
                <w:u w:val="none"/>
                <w:lang w:val="en-US" w:eastAsia="zh-CN"/>
              </w:rPr>
              <w:t xml:space="preserve"> </w:t>
            </w:r>
            <w:r>
              <w:rPr>
                <w:rFonts w:hint="default" w:ascii="Times New Roman Regular" w:hAnsi="Times New Roman Regular" w:eastAsia="宋体" w:cs="Times New Roman Regular"/>
                <w:color w:val="333333"/>
                <w:sz w:val="21"/>
                <w:szCs w:val="21"/>
                <w:highlight w:val="none"/>
                <w:u w:val="none"/>
              </w:rPr>
              <w:t>to make up the difference.</w:t>
            </w:r>
          </w:p>
        </w:tc>
      </w:tr>
    </w:tbl>
    <w:p w14:paraId="146D6548">
      <w:pPr>
        <w:rPr>
          <w:rFonts w:hint="default" w:ascii="Times New Roman Regular" w:hAnsi="Times New Roman Regular" w:cs="Times New Roman Regular"/>
          <w:highlight w:val="none"/>
        </w:rPr>
      </w:pPr>
    </w:p>
    <w:p w14:paraId="77F7435C">
      <w:pPr>
        <w:numPr>
          <w:ilvl w:val="0"/>
          <w:numId w:val="2"/>
        </w:numPr>
        <w:rPr>
          <w:rFonts w:hint="default" w:ascii="Times New Roman Regular" w:hAnsi="Times New Roman Regular" w:cs="Times New Roman Regular"/>
          <w:b/>
          <w:bCs/>
          <w:highlight w:val="none"/>
        </w:rPr>
      </w:pPr>
      <w:r>
        <w:rPr>
          <w:rFonts w:hint="default" w:ascii="Times New Roman Regular" w:hAnsi="Times New Roman Regular" w:cs="Times New Roman Regular"/>
          <w:b/>
          <w:bCs/>
          <w:highlight w:val="none"/>
        </w:rPr>
        <w:t>Copyright Ownership Statement</w:t>
      </w:r>
    </w:p>
    <w:p w14:paraId="3FC97853">
      <w:pPr>
        <w:numPr>
          <w:ilvl w:val="0"/>
          <w:numId w:val="0"/>
        </w:numPr>
        <w:rPr>
          <w:rFonts w:hint="default" w:ascii="Times New Roman Regular" w:hAnsi="Times New Roman Regular" w:cs="Times New Roman Regular"/>
          <w:highlight w:val="none"/>
        </w:rPr>
      </w:pPr>
      <w:r>
        <w:rPr>
          <w:rFonts w:hint="default" w:ascii="Times New Roman Regular" w:hAnsi="Times New Roman Regular" w:cs="Times New Roman Regular"/>
          <w:highlight w:val="none"/>
        </w:rPr>
        <w:t>Th</w:t>
      </w:r>
      <w:r>
        <w:rPr>
          <w:rFonts w:hint="default" w:ascii="Times New Roman Regular" w:hAnsi="Times New Roman Regular" w:cs="Times New Roman Regular"/>
          <w:highlight w:val="none"/>
          <w:lang w:val="en-US" w:eastAsia="zh-CN"/>
        </w:rPr>
        <w:t>is</w:t>
      </w:r>
      <w:r>
        <w:rPr>
          <w:rFonts w:hint="default" w:ascii="Times New Roman Regular" w:hAnsi="Times New Roman Regular" w:cs="Times New Roman Regular"/>
          <w:highlight w:val="none"/>
        </w:rPr>
        <w:t xml:space="preserve"> Competition</w:t>
      </w:r>
      <w:r>
        <w:rPr>
          <w:rFonts w:hint="default" w:ascii="Times New Roman Regular" w:hAnsi="Times New Roman Regular" w:cs="Times New Roman Regular"/>
          <w:highlight w:val="none"/>
        </w:rPr>
        <w:t xml:space="preserve"> is a targeted event commissioned by the Ruian Municipal Bureau of Culture, Radio, Television, Tourism, and Sports. The bureau holds the copyright of the finalist </w:t>
      </w:r>
      <w:r>
        <w:rPr>
          <w:rFonts w:hint="default" w:ascii="Times New Roman Regular" w:hAnsi="Times New Roman Regular" w:cs="Times New Roman Regular"/>
          <w:highlight w:val="none"/>
          <w:lang w:val="en-US" w:eastAsia="zh-CN"/>
        </w:rPr>
        <w:t>works</w:t>
      </w:r>
      <w:r>
        <w:rPr>
          <w:rFonts w:hint="default" w:ascii="Times New Roman Regular" w:hAnsi="Times New Roman Regular" w:cs="Times New Roman Regular"/>
          <w:highlight w:val="none"/>
        </w:rPr>
        <w:t xml:space="preserve"> </w:t>
      </w:r>
      <w:r>
        <w:rPr>
          <w:rFonts w:hint="default" w:ascii="Times New Roman Regular" w:hAnsi="Times New Roman Regular" w:cs="Times New Roman Regular"/>
          <w:highlight w:val="none"/>
        </w:rPr>
        <w:t>and may use them for subsequent cultural dissemination and promotional exchanges.</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Times New Roman Regular">
    <w:altName w:val="Times New Roman"/>
    <w:panose1 w:val="02020603050405020304"/>
    <w:charset w:val="00"/>
    <w:family w:val="auto"/>
    <w:pitch w:val="default"/>
    <w:sig w:usb0="00000000" w:usb1="00000000"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BFFD0EF"/>
    <w:multiLevelType w:val="singleLevel"/>
    <w:tmpl w:val="FBFFD0EF"/>
    <w:lvl w:ilvl="0" w:tentative="0">
      <w:start w:val="1"/>
      <w:numFmt w:val="decimal"/>
      <w:suff w:val="space"/>
      <w:lvlText w:val="%1."/>
      <w:lvlJc w:val="left"/>
    </w:lvl>
  </w:abstractNum>
  <w:abstractNum w:abstractNumId="1">
    <w:nsid w:val="FE9A90AE"/>
    <w:multiLevelType w:val="singleLevel"/>
    <w:tmpl w:val="FE9A90AE"/>
    <w:lvl w:ilvl="0" w:tentative="0">
      <w:start w:val="4"/>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A13B69"/>
    <w:rsid w:val="24A34F2A"/>
    <w:rsid w:val="2FFF2223"/>
    <w:rsid w:val="3BCF2A49"/>
    <w:rsid w:val="47547735"/>
    <w:rsid w:val="55E44074"/>
    <w:rsid w:val="65A13B69"/>
    <w:rsid w:val="6FCFF18D"/>
    <w:rsid w:val="6FF3E48F"/>
    <w:rsid w:val="714B60F4"/>
    <w:rsid w:val="72B764BC"/>
    <w:rsid w:val="7BF314D0"/>
    <w:rsid w:val="7F7B37FF"/>
    <w:rsid w:val="7FE7ED40"/>
    <w:rsid w:val="B1BA00BD"/>
    <w:rsid w:val="FFBB6C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rFonts w:ascii="Times New Roman" w:hAnsi="Times New Roman" w:eastAsia="宋体" w:cs="Times New Roman"/>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654</Words>
  <Characters>3635</Characters>
  <Lines>0</Lines>
  <Paragraphs>0</Paragraphs>
  <TotalTime>4</TotalTime>
  <ScaleCrop>false</ScaleCrop>
  <LinksUpToDate>false</LinksUpToDate>
  <CharactersWithSpaces>4252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2026-05-07T22:43:00Z</dcterms:created>
  <dc:creator>陈旭</dc:creator>
  <cp:lastModifiedBy>陈旭</cp:lastModifiedBy>
  <dcterms:modified xsi:type="dcterms:W3CDTF">2026-05-15T04:09:53Z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742981165BCC4E79BECCA805E38582B3_11</vt:lpwstr>
  </property>
  <property fmtid="{D5CDD505-2E9C-101B-9397-08002B2CF9AE}" pid="4" name="KSOTemplateDocerSaveRecord">
    <vt:lpwstr>eyJoZGlkIjoiNjU0YzMwYjZkY2EwYjhmNGJiNjJmZjFhNWViNmI4NDMiLCJ1c2VySWQiOiI1MDY0NjUyOTUifQ==</vt:lpwstr>
  </property>
</Properties>
</file>