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E135C">
      <w:pPr>
        <w:rPr>
          <w:rFonts w:hint="default" w:ascii="Times New Roman Regular" w:hAnsi="Times New Roman Regular" w:cs="Times New Roman Regular"/>
          <w:b/>
          <w:bCs/>
          <w:highlight w:val="none"/>
        </w:rPr>
      </w:pPr>
      <w:bookmarkStart w:id="0" w:name="_GoBack"/>
      <w:r>
        <w:rPr>
          <w:rFonts w:hint="default" w:ascii="Times New Roman Regular" w:hAnsi="Times New Roman Regular" w:cs="Times New Roman Regular"/>
          <w:b/>
          <w:bCs/>
          <w:highlight w:val="none"/>
        </w:rPr>
        <w:t>Attachment 1:</w:t>
      </w:r>
    </w:p>
    <w:p w14:paraId="6423E535">
      <w:pPr>
        <w:jc w:val="center"/>
        <w:rPr>
          <w:rFonts w:hint="default" w:ascii="Times New Roman Regular" w:hAnsi="Times New Roman Regular" w:cs="Times New Roman Regular"/>
          <w:b/>
          <w:bCs/>
          <w:sz w:val="28"/>
          <w:szCs w:val="28"/>
          <w:highlight w:val="none"/>
        </w:rPr>
      </w:pPr>
      <w:r>
        <w:rPr>
          <w:rFonts w:hint="default" w:ascii="Times New Roman Regular" w:hAnsi="Times New Roman Regular" w:cs="Times New Roman Regular"/>
          <w:b/>
          <w:bCs/>
          <w:sz w:val="28"/>
          <w:szCs w:val="28"/>
          <w:highlight w:val="none"/>
          <w:lang w:val="en-US" w:eastAsia="zh-CN"/>
        </w:rPr>
        <w:t>2026</w:t>
      </w:r>
      <w:r>
        <w:rPr>
          <w:rFonts w:hint="default" w:ascii="Times New Roman Regular" w:hAnsi="Times New Roman Regular" w:cs="Times New Roman Regular"/>
          <w:b/>
          <w:bCs/>
          <w:sz w:val="28"/>
          <w:szCs w:val="28"/>
          <w:highlight w:val="none"/>
        </w:rPr>
        <w:t xml:space="preserve"> Wenzhou International Design Biennial</w:t>
      </w:r>
    </w:p>
    <w:p w14:paraId="77FE81ED">
      <w:pPr>
        <w:jc w:val="center"/>
        <w:rPr>
          <w:rFonts w:hint="default" w:ascii="Times New Roman Regular" w:hAnsi="Times New Roman Regular" w:cs="Times New Roman Regular"/>
          <w:b/>
          <w:bCs/>
          <w:sz w:val="28"/>
          <w:szCs w:val="28"/>
          <w:highlight w:val="none"/>
          <w:lang w:val="en-US"/>
        </w:rPr>
      </w:pPr>
      <w:r>
        <w:rPr>
          <w:rFonts w:hint="default" w:ascii="Times New Roman Regular" w:hAnsi="Times New Roman Regular" w:cs="Times New Roman Regular"/>
          <w:b/>
          <w:bCs/>
          <w:sz w:val="28"/>
          <w:szCs w:val="28"/>
          <w:highlight w:val="none"/>
        </w:rPr>
        <w:t xml:space="preserve">Requirements and </w:t>
      </w:r>
      <w:r>
        <w:rPr>
          <w:rFonts w:hint="default" w:ascii="Times New Roman Regular" w:hAnsi="Times New Roman Regular" w:cs="Times New Roman Regular"/>
          <w:b/>
          <w:bCs/>
          <w:sz w:val="28"/>
          <w:szCs w:val="28"/>
          <w:highlight w:val="none"/>
          <w:lang w:val="en-US" w:eastAsia="zh-CN"/>
        </w:rPr>
        <w:t>S</w:t>
      </w:r>
      <w:r>
        <w:rPr>
          <w:rFonts w:hint="default" w:ascii="Times New Roman Regular" w:hAnsi="Times New Roman Regular" w:cs="Times New Roman Regular"/>
          <w:b/>
          <w:bCs/>
          <w:sz w:val="28"/>
          <w:szCs w:val="28"/>
          <w:highlight w:val="none"/>
        </w:rPr>
        <w:t xml:space="preserve">pecifications for </w:t>
      </w:r>
      <w:r>
        <w:rPr>
          <w:rFonts w:hint="default" w:ascii="Times New Roman Regular" w:hAnsi="Times New Roman Regular" w:cs="Times New Roman Regular"/>
          <w:b/>
          <w:bCs/>
          <w:sz w:val="28"/>
          <w:szCs w:val="28"/>
          <w:highlight w:val="none"/>
          <w:lang w:val="en-US" w:eastAsia="zh-CN"/>
        </w:rPr>
        <w:t>P</w:t>
      </w:r>
      <w:r>
        <w:rPr>
          <w:rFonts w:hint="default" w:ascii="Times New Roman Regular" w:hAnsi="Times New Roman Regular" w:cs="Times New Roman Regular"/>
          <w:b/>
          <w:bCs/>
          <w:sz w:val="28"/>
          <w:szCs w:val="28"/>
          <w:highlight w:val="none"/>
        </w:rPr>
        <w:t xml:space="preserve">roduct </w:t>
      </w:r>
      <w:r>
        <w:rPr>
          <w:rFonts w:hint="default" w:ascii="Times New Roman Regular" w:hAnsi="Times New Roman Regular" w:cs="Times New Roman Regular"/>
          <w:b/>
          <w:bCs/>
          <w:sz w:val="28"/>
          <w:szCs w:val="28"/>
          <w:highlight w:val="none"/>
          <w:lang w:val="en-US" w:eastAsia="zh-CN"/>
        </w:rPr>
        <w:t>D</w:t>
      </w:r>
      <w:r>
        <w:rPr>
          <w:rFonts w:hint="default" w:ascii="Times New Roman Regular" w:hAnsi="Times New Roman Regular" w:cs="Times New Roman Regular"/>
          <w:b/>
          <w:bCs/>
          <w:sz w:val="28"/>
          <w:szCs w:val="28"/>
          <w:highlight w:val="none"/>
        </w:rPr>
        <w:t>esign</w:t>
      </w:r>
      <w:r>
        <w:rPr>
          <w:rFonts w:hint="default" w:ascii="Times New Roman Regular" w:hAnsi="Times New Roman Regular" w:cs="Times New Roman Regular"/>
          <w:b/>
          <w:bCs/>
          <w:sz w:val="28"/>
          <w:szCs w:val="28"/>
          <w:highlight w:val="none"/>
          <w:lang w:val="en-US"/>
        </w:rPr>
        <w:t xml:space="preserve"> Group</w:t>
      </w:r>
    </w:p>
    <w:p w14:paraId="7FD51ED4">
      <w:pPr>
        <w:jc w:val="center"/>
        <w:rPr>
          <w:rFonts w:hint="default" w:ascii="Times New Roman Regular" w:hAnsi="Times New Roman Regular" w:cs="Times New Roman Regular"/>
          <w:b/>
          <w:bCs/>
          <w:sz w:val="28"/>
          <w:szCs w:val="28"/>
          <w:highlight w:val="none"/>
        </w:rPr>
      </w:pPr>
    </w:p>
    <w:p w14:paraId="71512309">
      <w:pPr>
        <w:rPr>
          <w:rFonts w:hint="default" w:ascii="Times New Roman Regular" w:hAnsi="Times New Roman Regular" w:cs="Times New Roman Regular"/>
          <w:b/>
          <w:bCs/>
          <w:highlight w:val="none"/>
          <w:lang w:val="en-US"/>
        </w:rPr>
      </w:pPr>
      <w:r>
        <w:rPr>
          <w:rFonts w:hint="default" w:ascii="Times New Roman Regular" w:hAnsi="Times New Roman Regular" w:cs="Times New Roman Regular"/>
          <w:b/>
          <w:bCs/>
          <w:highlight w:val="none"/>
        </w:rPr>
        <w:t>1. Scope</w:t>
      </w:r>
      <w:r>
        <w:rPr>
          <w:rFonts w:hint="default" w:ascii="Times New Roman Regular" w:hAnsi="Times New Roman Regular" w:cs="Times New Roman Regular"/>
          <w:b/>
          <w:bCs/>
          <w:highlight w:val="none"/>
          <w:lang w:val="en-US"/>
        </w:rPr>
        <w:t xml:space="preserve"> of works</w:t>
      </w:r>
    </w:p>
    <w:p w14:paraId="2CD6D426">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1.1 Emergency Security</w:t>
      </w:r>
    </w:p>
    <w:p w14:paraId="47278730">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1.1.1 Collect hardware products, software products, software and hardware</w:t>
      </w:r>
      <w:r>
        <w:rPr>
          <w:rFonts w:hint="default" w:ascii="Times New Roman Regular" w:hAnsi="Times New Roman Regular" w:cs="Times New Roman Regular"/>
          <w:highlight w:val="none"/>
          <w:lang w:val="en-US" w:eastAsia="zh-CN"/>
        </w:rPr>
        <w:t xml:space="preserve"> </w:t>
      </w:r>
      <w:r>
        <w:rPr>
          <w:rFonts w:hint="default" w:ascii="Times New Roman Regular" w:hAnsi="Times New Roman Regular" w:cs="Times New Roman Regular"/>
          <w:highlight w:val="none"/>
        </w:rPr>
        <w:t xml:space="preserve">products that can realize intelligent life and provide convenient and safe services for life and production through the Internet, the Internet of Things, </w:t>
      </w:r>
      <w:r>
        <w:rPr>
          <w:rFonts w:hint="default" w:ascii="Times New Roman Regular" w:hAnsi="Times New Roman Regular" w:cs="Times New Roman Regular"/>
          <w:highlight w:val="none"/>
          <w:lang w:val="en-US" w:eastAsia="zh-CN"/>
        </w:rPr>
        <w:t>AI</w:t>
      </w:r>
      <w:r>
        <w:rPr>
          <w:rFonts w:hint="default" w:ascii="Times New Roman Regular" w:hAnsi="Times New Roman Regular" w:cs="Times New Roman Regular"/>
          <w:highlight w:val="none"/>
        </w:rPr>
        <w:t>, virtual reality and other scientific and technological means.</w:t>
      </w:r>
    </w:p>
    <w:p w14:paraId="33320CC3">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1.1.2. Collect works closely related to production and daily life, including personal safety protection products, home protection products, fire-fighting equipment in daily life and production, intelligent monitoring, safety production protection and other safety related products.</w:t>
      </w:r>
    </w:p>
    <w:p w14:paraId="6EB6567F">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lang w:val="en-US" w:eastAsia="zh-CN"/>
        </w:rPr>
        <w:t>Submission works can be p</w:t>
      </w:r>
      <w:r>
        <w:rPr>
          <w:rFonts w:hint="default" w:ascii="Times New Roman Regular" w:hAnsi="Times New Roman Regular" w:cs="Times New Roman Regular"/>
          <w:highlight w:val="none"/>
        </w:rPr>
        <w:t>roducts including but not limited</w:t>
      </w:r>
      <w:r>
        <w:rPr>
          <w:rFonts w:hint="default" w:ascii="Times New Roman Regular" w:hAnsi="Times New Roman Regular" w:cs="Times New Roman Regular"/>
          <w:highlight w:val="none"/>
          <w:lang w:val="en-US"/>
        </w:rPr>
        <w:t xml:space="preserve"> </w:t>
      </w:r>
      <w:r>
        <w:rPr>
          <w:rFonts w:hint="eastAsia" w:ascii="Times New Roman Regular" w:hAnsi="Times New Roman Regular" w:cs="Times New Roman Regular"/>
          <w:highlight w:val="none"/>
          <w:lang w:val="en-US" w:eastAsia="zh-CN"/>
        </w:rPr>
        <w:t xml:space="preserve">using </w:t>
      </w:r>
      <w:r>
        <w:rPr>
          <w:rFonts w:hint="default" w:ascii="Times New Roman Regular" w:hAnsi="Times New Roman Regular" w:cs="Times New Roman Regular"/>
          <w:highlight w:val="none"/>
        </w:rPr>
        <w:t>in daily life and production.</w:t>
      </w:r>
    </w:p>
    <w:p w14:paraId="6B3B263D">
      <w:pPr>
        <w:rPr>
          <w:rFonts w:hint="default" w:ascii="Times New Roman Regular" w:hAnsi="Times New Roman Regular" w:cs="Times New Roman Regular"/>
          <w:b/>
          <w:bCs/>
          <w:highlight w:val="none"/>
        </w:rPr>
      </w:pPr>
    </w:p>
    <w:p w14:paraId="335EA0CB">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1.2. Fashion and Culture</w:t>
      </w:r>
    </w:p>
    <w:p w14:paraId="3341FDB0">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1.2.1. Collect personal fashion products that decorate and beautify the human body, including fashion design, shoe and hat design, leather goods, clothing accessories, glasses, jewelry and other light industrial products.</w:t>
      </w:r>
    </w:p>
    <w:p w14:paraId="473490E7">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1.2.2. Collect intangible cultural heritage products and derivatives, cultural and creative products and derivatives, cultural and creative industrial products, logos, packaging, etc. that can be produced and applied to daily life.</w:t>
      </w:r>
    </w:p>
    <w:p w14:paraId="44A7DB48">
      <w:pPr>
        <w:rPr>
          <w:rFonts w:hint="default" w:ascii="Times New Roman Regular" w:hAnsi="Times New Roman Regular" w:cs="Times New Roman Regular"/>
          <w:highlight w:val="none"/>
          <w:lang w:val="en-US" w:eastAsia="zh-CN"/>
        </w:rPr>
      </w:pPr>
    </w:p>
    <w:p w14:paraId="6C314602">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lang w:val="en-US" w:eastAsia="zh-CN"/>
        </w:rPr>
        <w:t>Submission works can be p</w:t>
      </w:r>
      <w:r>
        <w:rPr>
          <w:rFonts w:hint="default" w:ascii="Times New Roman Regular" w:hAnsi="Times New Roman Regular" w:cs="Times New Roman Regular"/>
          <w:highlight w:val="none"/>
        </w:rPr>
        <w:t>roducts including but not limited</w:t>
      </w:r>
      <w:r>
        <w:rPr>
          <w:rFonts w:hint="default" w:ascii="Times New Roman Regular" w:hAnsi="Times New Roman Regular" w:cs="Times New Roman Regular"/>
          <w:highlight w:val="none"/>
          <w:lang w:val="en-US"/>
        </w:rPr>
        <w:t xml:space="preserve"> to those</w:t>
      </w:r>
      <w:r>
        <w:rPr>
          <w:rFonts w:hint="default" w:ascii="Times New Roman Regular" w:hAnsi="Times New Roman Regular" w:cs="Times New Roman Regular"/>
          <w:highlight w:val="none"/>
        </w:rPr>
        <w:t xml:space="preserve"> showcase culture and beauty in daily life and production.</w:t>
      </w:r>
    </w:p>
    <w:p w14:paraId="38A59424">
      <w:pPr>
        <w:rPr>
          <w:rFonts w:hint="default" w:ascii="Times New Roman Regular" w:hAnsi="Times New Roman Regular" w:cs="Times New Roman Regular"/>
          <w:b/>
          <w:bCs/>
          <w:highlight w:val="none"/>
        </w:rPr>
      </w:pPr>
    </w:p>
    <w:p w14:paraId="16C59743">
      <w:pPr>
        <w:rPr>
          <w:rFonts w:hint="default" w:ascii="Times New Roman Regular" w:hAnsi="Times New Roman Regular" w:cs="Times New Roman Regular"/>
          <w:b/>
          <w:bCs/>
          <w:highlight w:val="none"/>
          <w:lang w:val="en-US"/>
        </w:rPr>
      </w:pPr>
      <w:r>
        <w:rPr>
          <w:rFonts w:hint="default" w:ascii="Times New Roman Regular" w:hAnsi="Times New Roman Regular" w:cs="Times New Roman Regular"/>
          <w:b/>
          <w:bCs/>
          <w:highlight w:val="none"/>
        </w:rPr>
        <w:t xml:space="preserve">2. </w:t>
      </w:r>
      <w:r>
        <w:rPr>
          <w:rFonts w:hint="default" w:ascii="Times New Roman Regular" w:hAnsi="Times New Roman Regular" w:cs="Times New Roman Regular"/>
          <w:b/>
          <w:bCs/>
          <w:highlight w:val="none"/>
          <w:lang w:val="en-US" w:eastAsia="zh-CN"/>
        </w:rPr>
        <w:t>S</w:t>
      </w:r>
      <w:r>
        <w:rPr>
          <w:rFonts w:hint="default" w:ascii="Times New Roman Regular" w:hAnsi="Times New Roman Regular" w:cs="Times New Roman Regular"/>
          <w:b/>
          <w:bCs/>
          <w:highlight w:val="none"/>
        </w:rPr>
        <w:t>pecifications</w:t>
      </w:r>
      <w:r>
        <w:rPr>
          <w:rFonts w:hint="default" w:ascii="Times New Roman Regular" w:hAnsi="Times New Roman Regular" w:cs="Times New Roman Regular"/>
          <w:b/>
          <w:bCs/>
          <w:highlight w:val="none"/>
          <w:lang w:val="en-US"/>
        </w:rPr>
        <w:t xml:space="preserve"> of submission</w:t>
      </w:r>
    </w:p>
    <w:p w14:paraId="7BAC4058">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2.1 Product Display Board Images</w:t>
      </w:r>
    </w:p>
    <w:p w14:paraId="53ABBD54">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One vertical display board, arranged in a 700mm × 1000mm vertical pattern, with a resolution of 300dpi. In addition to simple design instructions, the image content should reflect the overall picture of the work, and hardware products should be labeled with information such as the size (length x width x height cm) and material of the work. It is required to have multiple angles, reference objects, and reflect the original appearance of the work as much as possible</w:t>
      </w:r>
      <w:r>
        <w:rPr>
          <w:rFonts w:hint="default" w:ascii="Times New Roman Regular" w:hAnsi="Times New Roman Regular" w:cs="Times New Roman Regular"/>
          <w:highlight w:val="none"/>
          <w:lang w:val="en-US"/>
        </w:rPr>
        <w:t>.</w:t>
      </w:r>
    </w:p>
    <w:p w14:paraId="68C8E3AE">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image format should be unified as jpg or CMYK mode, and the size of a single image should not exceed 80M. The graphic should include a brief design description that can assist in explaining the design intention and features of the work. The number of characters is not limited, but the language and text should be Chinese (traditional or simplified) or English. The display board should have a graphic recognition template for the Wenzhou International Design Biennial Competition, which can be downloaded from the official website (http://wzdb. zjcst. edu. cn/).</w:t>
      </w:r>
    </w:p>
    <w:p w14:paraId="2BE699B4">
      <w:pPr>
        <w:jc w:val="cente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drawing>
          <wp:inline distT="0" distB="0" distL="114300" distR="114300">
            <wp:extent cx="3267075" cy="469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67075" cy="4695825"/>
                    </a:xfrm>
                    <a:prstGeom prst="rect">
                      <a:avLst/>
                    </a:prstGeom>
                    <a:noFill/>
                    <a:ln>
                      <a:noFill/>
                    </a:ln>
                  </pic:spPr>
                </pic:pic>
              </a:graphicData>
            </a:graphic>
          </wp:inline>
        </w:drawing>
      </w:r>
    </w:p>
    <w:p w14:paraId="59C7BCFB">
      <w:pPr>
        <w:rPr>
          <w:rFonts w:hint="default" w:ascii="Times New Roman Regular" w:hAnsi="Times New Roman Regular" w:cs="Times New Roman Regular"/>
          <w:b/>
          <w:bCs/>
          <w:highlight w:val="none"/>
        </w:rPr>
      </w:pPr>
    </w:p>
    <w:p w14:paraId="4F52D0DA">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2.2. Works review images</w:t>
      </w:r>
    </w:p>
    <w:p w14:paraId="6F44FB86">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image format should be unified as JPG, with one 210mm * 290mm image and a brief design description attached. Horizontal and vertical unlimited, resolution of 300dpi, RGB mode. The size of a single image should not exceed 20M.</w:t>
      </w:r>
    </w:p>
    <w:p w14:paraId="041BD673">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2.3 Video file description</w:t>
      </w:r>
    </w:p>
    <w:p w14:paraId="7AE816EE">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Additional videos and roaming animations can be added, which is an additional item and not a mandatory requirement. The video format is MP4, and the demonstration video in the same competition topic should not exceed 100M, not be less than 20M, with a clarity of 1080p, a time limit of no more than 5 minutes, and a display ratio of 16:9 to ensure image quality.</w:t>
      </w:r>
    </w:p>
    <w:p w14:paraId="39354600">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2.4. Work description</w:t>
      </w:r>
    </w:p>
    <w:p w14:paraId="39AF194A">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lang w:val="en-US"/>
        </w:rPr>
        <w:t>The description should be w</w:t>
      </w:r>
      <w:r>
        <w:rPr>
          <w:rFonts w:hint="default" w:ascii="Times New Roman Regular" w:hAnsi="Times New Roman Regular" w:cs="Times New Roman Regular"/>
          <w:highlight w:val="none"/>
        </w:rPr>
        <w:t xml:space="preserve">ithin 200 words, </w:t>
      </w:r>
      <w:r>
        <w:rPr>
          <w:rFonts w:hint="default" w:ascii="Times New Roman Regular" w:hAnsi="Times New Roman Regular" w:cs="Times New Roman Regular"/>
          <w:highlight w:val="none"/>
          <w:lang w:val="en-US"/>
        </w:rPr>
        <w:t xml:space="preserve">and </w:t>
      </w:r>
      <w:r>
        <w:rPr>
          <w:rFonts w:hint="default" w:ascii="Times New Roman Regular" w:hAnsi="Times New Roman Regular" w:cs="Times New Roman Regular"/>
          <w:highlight w:val="none"/>
        </w:rPr>
        <w:t>able to clearly express the creativity and content of the work.</w:t>
      </w:r>
    </w:p>
    <w:p w14:paraId="780B0DFB">
      <w:pPr>
        <w:rPr>
          <w:rFonts w:hint="default" w:ascii="Times New Roman Regular" w:hAnsi="Times New Roman Regular" w:cs="Times New Roman Regular"/>
          <w:b/>
          <w:bCs/>
          <w:highlight w:val="none"/>
        </w:rPr>
      </w:pPr>
    </w:p>
    <w:p w14:paraId="2D9B1BF7">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3. Award Setting</w:t>
      </w:r>
    </w:p>
    <w:p w14:paraId="1E71AFDD">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 xml:space="preserve">This competition has two groups: professional group and student group, </w:t>
      </w:r>
      <w:r>
        <w:rPr>
          <w:rFonts w:hint="default" w:ascii="Times New Roman Regular" w:hAnsi="Times New Roman Regular" w:cs="Times New Roman Regular"/>
          <w:highlight w:val="none"/>
          <w:lang w:val="en-US"/>
        </w:rPr>
        <w:t xml:space="preserve">which will be evaluated separately, </w:t>
      </w:r>
      <w:r>
        <w:rPr>
          <w:rFonts w:hint="default" w:ascii="Times New Roman Regular" w:hAnsi="Times New Roman Regular" w:cs="Times New Roman Regular"/>
          <w:highlight w:val="none"/>
        </w:rPr>
        <w:t>each with one gold award, two silver awards, three bronze awards, and several excellent awards. Winners will receive a certificate of award and corresponding prize money (before tax).</w:t>
      </w:r>
    </w:p>
    <w:p w14:paraId="67FDCD9C">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bonus amount is as follows:</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9"/>
        <w:gridCol w:w="1760"/>
        <w:gridCol w:w="1133"/>
        <w:gridCol w:w="1240"/>
        <w:gridCol w:w="1540"/>
      </w:tblGrid>
      <w:tr w14:paraId="287B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5"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B883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cs="Times New Roman Regular"/>
                <w:b/>
                <w:bCs/>
                <w:color w:val="333333"/>
                <w:sz w:val="21"/>
                <w:szCs w:val="21"/>
                <w:highlight w:val="none"/>
                <w:u w:val="none"/>
                <w:lang w:val="en-US" w:eastAsia="zh-CN"/>
              </w:rPr>
              <w:t>C</w:t>
            </w:r>
            <w:r>
              <w:rPr>
                <w:rFonts w:hint="default" w:ascii="Times New Roman Regular" w:hAnsi="Times New Roman Regular" w:eastAsia="宋体" w:cs="Times New Roman Regular"/>
                <w:b/>
                <w:bCs/>
                <w:color w:val="333333"/>
                <w:sz w:val="21"/>
                <w:szCs w:val="21"/>
                <w:highlight w:val="none"/>
                <w:u w:val="none"/>
                <w:lang w:val="en-US" w:eastAsia="zh-CN"/>
              </w:rPr>
              <w:t>ategory</w:t>
            </w:r>
          </w:p>
        </w:tc>
        <w:tc>
          <w:tcPr>
            <w:tcW w:w="176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05B9DC3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0" w:firstLineChars="0"/>
              <w:jc w:val="left"/>
              <w:textAlignment w:val="auto"/>
              <w:rPr>
                <w:rFonts w:hint="default" w:ascii="Times New Roman Regular" w:hAnsi="Times New Roman Regular" w:eastAsia="宋体" w:cs="Times New Roman Regular"/>
                <w:b/>
                <w:bCs/>
                <w:sz w:val="21"/>
                <w:szCs w:val="21"/>
                <w:highlight w:val="none"/>
                <w:u w:val="none"/>
                <w:lang w:val="en-US" w:eastAsia="zh-CN"/>
              </w:rPr>
            </w:pPr>
            <w:r>
              <w:rPr>
                <w:rFonts w:hint="default" w:ascii="Times New Roman Regular" w:hAnsi="Times New Roman Regular" w:eastAsia="宋体" w:cs="Times New Roman Regular"/>
                <w:b/>
                <w:bCs/>
                <w:sz w:val="21"/>
                <w:szCs w:val="21"/>
                <w:highlight w:val="none"/>
                <w:u w:val="none"/>
                <w:lang w:val="en-US" w:eastAsia="zh-CN"/>
              </w:rPr>
              <w:t>Group</w:t>
            </w:r>
          </w:p>
        </w:tc>
        <w:tc>
          <w:tcPr>
            <w:tcW w:w="1133"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7E74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cs="Times New Roman Regular"/>
                <w:b/>
                <w:bCs/>
                <w:color w:val="333333"/>
                <w:sz w:val="21"/>
                <w:szCs w:val="21"/>
                <w:highlight w:val="none"/>
                <w:u w:val="none"/>
                <w:lang w:val="en-US"/>
              </w:rPr>
              <w:t>G</w:t>
            </w:r>
            <w:r>
              <w:rPr>
                <w:rFonts w:hint="default" w:ascii="Times New Roman Regular" w:hAnsi="Times New Roman Regular" w:eastAsia="宋体" w:cs="Times New Roman Regular"/>
                <w:b/>
                <w:bCs/>
                <w:color w:val="333333"/>
                <w:sz w:val="21"/>
                <w:szCs w:val="21"/>
                <w:highlight w:val="none"/>
                <w:u w:val="none"/>
              </w:rPr>
              <w:t xml:space="preserve">old </w:t>
            </w:r>
            <w:r>
              <w:rPr>
                <w:rFonts w:hint="default" w:ascii="Times New Roman Regular" w:hAnsi="Times New Roman Regular" w:cs="Times New Roman Regular"/>
                <w:b/>
                <w:bCs/>
                <w:color w:val="333333"/>
                <w:sz w:val="21"/>
                <w:szCs w:val="21"/>
                <w:highlight w:val="none"/>
                <w:u w:val="none"/>
                <w:lang w:val="en-US"/>
              </w:rPr>
              <w:t>A</w:t>
            </w:r>
            <w:r>
              <w:rPr>
                <w:rFonts w:hint="default" w:ascii="Times New Roman Regular" w:hAnsi="Times New Roman Regular" w:eastAsia="宋体" w:cs="Times New Roman Regular"/>
                <w:b/>
                <w:bCs/>
                <w:color w:val="333333"/>
                <w:sz w:val="21"/>
                <w:szCs w:val="21"/>
                <w:highlight w:val="none"/>
                <w:u w:val="none"/>
              </w:rPr>
              <w:t>ward</w:t>
            </w:r>
          </w:p>
        </w:tc>
        <w:tc>
          <w:tcPr>
            <w:tcW w:w="124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597B1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Silver Award</w:t>
            </w:r>
          </w:p>
        </w:tc>
        <w:tc>
          <w:tcPr>
            <w:tcW w:w="154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51688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Bronze Award</w:t>
            </w:r>
          </w:p>
        </w:tc>
      </w:tr>
      <w:tr w14:paraId="2D1A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5" w:type="dxa"/>
            <w:vMerge w:val="restart"/>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10C9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Product</w:t>
            </w:r>
          </w:p>
          <w:p w14:paraId="0A25FC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lang w:val="en-US"/>
              </w:rPr>
            </w:pPr>
            <w:r>
              <w:rPr>
                <w:rFonts w:hint="default" w:ascii="Times New Roman Regular" w:hAnsi="Times New Roman Regular" w:cs="Times New Roman Regular"/>
                <w:b/>
                <w:bCs/>
                <w:color w:val="333333"/>
                <w:sz w:val="21"/>
                <w:szCs w:val="21"/>
                <w:highlight w:val="none"/>
                <w:u w:val="none"/>
                <w:lang w:val="en-US"/>
              </w:rPr>
              <w:t>Design</w:t>
            </w:r>
          </w:p>
        </w:tc>
        <w:tc>
          <w:tcPr>
            <w:tcW w:w="176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338D6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 xml:space="preserve">Professional Group </w:t>
            </w:r>
          </w:p>
        </w:tc>
        <w:tc>
          <w:tcPr>
            <w:tcW w:w="1133"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1058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10000</w:t>
            </w:r>
          </w:p>
        </w:tc>
        <w:tc>
          <w:tcPr>
            <w:tcW w:w="124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4DFEF4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8000</w:t>
            </w:r>
          </w:p>
        </w:tc>
        <w:tc>
          <w:tcPr>
            <w:tcW w:w="154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01B90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5000</w:t>
            </w:r>
          </w:p>
        </w:tc>
      </w:tr>
      <w:tr w14:paraId="2084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25" w:type="dxa"/>
            <w:vMerge w:val="continue"/>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243301C5">
            <w:pPr>
              <w:keepNext w:val="0"/>
              <w:keepLines w:val="0"/>
              <w:pageBreakBefore w:val="0"/>
              <w:widowControl/>
              <w:kinsoku/>
              <w:wordWrap/>
              <w:overflowPunct/>
              <w:topLinePunct w:val="0"/>
              <w:autoSpaceDE/>
              <w:autoSpaceDN/>
              <w:bidi w:val="0"/>
              <w:adjustRightInd/>
              <w:snapToGrid/>
              <w:spacing w:before="0" w:after="0" w:line="360" w:lineRule="exact"/>
              <w:ind w:firstLine="0" w:firstLineChars="0"/>
              <w:jc w:val="left"/>
              <w:textAlignment w:val="auto"/>
              <w:rPr>
                <w:rFonts w:hint="default" w:ascii="Times New Roman Regular" w:hAnsi="Times New Roman Regular" w:eastAsia="宋体" w:cs="Times New Roman Regular"/>
                <w:b/>
                <w:bCs/>
                <w:sz w:val="21"/>
                <w:szCs w:val="21"/>
                <w:highlight w:val="none"/>
                <w:u w:val="none"/>
              </w:rPr>
            </w:pPr>
          </w:p>
        </w:tc>
        <w:tc>
          <w:tcPr>
            <w:tcW w:w="176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7F1052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Student group</w:t>
            </w:r>
          </w:p>
        </w:tc>
        <w:tc>
          <w:tcPr>
            <w:tcW w:w="1133"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486EB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3000</w:t>
            </w:r>
          </w:p>
        </w:tc>
        <w:tc>
          <w:tcPr>
            <w:tcW w:w="124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23541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2000</w:t>
            </w:r>
          </w:p>
        </w:tc>
        <w:tc>
          <w:tcPr>
            <w:tcW w:w="154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21E12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1000</w:t>
            </w:r>
          </w:p>
        </w:tc>
      </w:tr>
      <w:tr w14:paraId="616F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98" w:type="dxa"/>
            <w:gridSpan w:val="5"/>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6F8413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 xml:space="preserve">The product prize includes model fees: the winning work model will be collected by the </w:t>
            </w:r>
            <w:r>
              <w:rPr>
                <w:rFonts w:hint="default" w:ascii="Times New Roman Regular" w:hAnsi="Times New Roman Regular" w:cs="Times New Roman Regular"/>
                <w:color w:val="333333"/>
                <w:sz w:val="21"/>
                <w:szCs w:val="21"/>
                <w:highlight w:val="none"/>
                <w:u w:val="none"/>
                <w:lang w:val="en-US"/>
              </w:rPr>
              <w:t>committee</w:t>
            </w:r>
            <w:r>
              <w:rPr>
                <w:rFonts w:hint="default" w:ascii="Times New Roman Regular" w:hAnsi="Times New Roman Regular" w:eastAsia="宋体" w:cs="Times New Roman Regular"/>
                <w:color w:val="333333"/>
                <w:sz w:val="21"/>
                <w:szCs w:val="21"/>
                <w:highlight w:val="none"/>
                <w:u w:val="none"/>
              </w:rPr>
              <w:t xml:space="preserve">. If the participating work is not suitable for collection, a reduced version model can be made. If the value of the work exceeds the bonus, </w:t>
            </w:r>
            <w:r>
              <w:rPr>
                <w:rFonts w:hint="default" w:ascii="Times New Roman Regular" w:hAnsi="Times New Roman Regular" w:cs="Times New Roman Regular"/>
                <w:color w:val="333333"/>
                <w:sz w:val="21"/>
                <w:szCs w:val="21"/>
                <w:highlight w:val="none"/>
                <w:u w:val="none"/>
                <w:lang w:val="en-US"/>
              </w:rPr>
              <w:t xml:space="preserve">the participants can </w:t>
            </w:r>
            <w:r>
              <w:rPr>
                <w:rFonts w:hint="default" w:ascii="Times New Roman Regular" w:hAnsi="Times New Roman Regular" w:eastAsia="宋体" w:cs="Times New Roman Regular"/>
                <w:color w:val="333333"/>
                <w:sz w:val="21"/>
                <w:szCs w:val="21"/>
                <w:highlight w:val="none"/>
                <w:u w:val="none"/>
              </w:rPr>
              <w:t>negotiate to make up the difference.</w:t>
            </w:r>
          </w:p>
        </w:tc>
      </w:tr>
    </w:tbl>
    <w:p w14:paraId="2D58AD64">
      <w:pPr>
        <w:rPr>
          <w:rFonts w:hint="default" w:ascii="Times New Roman Regular" w:hAnsi="Times New Roman Regular" w:cs="Times New Roman Regula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D24C5"/>
    <w:rsid w:val="13ED24C5"/>
    <w:rsid w:val="1ECE4AF5"/>
    <w:rsid w:val="380412E2"/>
    <w:rsid w:val="6DF640BF"/>
    <w:rsid w:val="7DD6B274"/>
    <w:rsid w:val="7DFF3993"/>
    <w:rsid w:val="7FF1F752"/>
    <w:rsid w:val="BE1DA17B"/>
    <w:rsid w:val="D3F9C38A"/>
    <w:rsid w:val="D7DB32A7"/>
    <w:rsid w:val="DBDEF4B6"/>
    <w:rsid w:val="E7A4E6C9"/>
    <w:rsid w:val="FFD5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576</Words>
  <Characters>3179</Characters>
  <Lines>0</Lines>
  <Paragraphs>0</Paragraphs>
  <TotalTime>4</TotalTime>
  <ScaleCrop>false</ScaleCrop>
  <LinksUpToDate>false</LinksUpToDate>
  <CharactersWithSpaces>3720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2026-05-08T14:08:00Z</dcterms:created>
  <dc:creator>陈旭</dc:creator>
  <cp:lastModifiedBy>陈旭</cp:lastModifiedBy>
  <dcterms:modified xsi:type="dcterms:W3CDTF">2026-05-15T04:10:21Z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BC4EC051EE9A4EC7A2955163999E3868_11</vt:lpwstr>
  </property>
  <property fmtid="{D5CDD505-2E9C-101B-9397-08002B2CF9AE}" pid="4" name="KSOTemplateDocerSaveRecord">
    <vt:lpwstr>eyJoZGlkIjoiNjU0YzMwYjZkY2EwYjhmNGJiNjJmZjFhNWViNmI4NDMiLCJ1c2VySWQiOiI1MDY0NjUyOTUifQ==</vt:lpwstr>
  </property>
</Properties>
</file>