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7E4FF">
      <w:pPr>
        <w:rPr>
          <w:rFonts w:hint="default" w:ascii="Times New Roman Regular" w:hAnsi="Times New Roman Regular" w:cs="Times New Roman Regular"/>
          <w:b/>
          <w:bCs/>
          <w:sz w:val="21"/>
          <w:szCs w:val="21"/>
          <w:highlight w:val="none"/>
        </w:rPr>
      </w:pPr>
      <w:bookmarkStart w:id="0" w:name="_GoBack"/>
      <w:r>
        <w:rPr>
          <w:rFonts w:hint="default" w:ascii="Times New Roman Regular" w:hAnsi="Times New Roman Regular" w:cs="Times New Roman Regular"/>
          <w:b/>
          <w:bCs/>
          <w:sz w:val="21"/>
          <w:szCs w:val="21"/>
          <w:highlight w:val="none"/>
        </w:rPr>
        <w:t>Attachment 2:</w:t>
      </w:r>
    </w:p>
    <w:p w14:paraId="513C1C3D">
      <w:pPr>
        <w:jc w:val="center"/>
        <w:rPr>
          <w:rFonts w:hint="default" w:ascii="Times New Roman Regular" w:hAnsi="Times New Roman Regular" w:cs="Times New Roman Regular"/>
          <w:b/>
          <w:bCs/>
          <w:sz w:val="28"/>
          <w:szCs w:val="28"/>
          <w:highlight w:val="none"/>
        </w:rPr>
      </w:pPr>
      <w:r>
        <w:rPr>
          <w:rFonts w:hint="default" w:ascii="Times New Roman Regular" w:hAnsi="Times New Roman Regular" w:cs="Times New Roman Regular"/>
          <w:b/>
          <w:bCs/>
          <w:sz w:val="28"/>
          <w:szCs w:val="28"/>
          <w:highlight w:val="none"/>
          <w:lang w:val="en-US"/>
        </w:rPr>
        <w:t>2026</w:t>
      </w:r>
      <w:r>
        <w:rPr>
          <w:rFonts w:hint="default" w:ascii="Times New Roman Regular" w:hAnsi="Times New Roman Regular" w:cs="Times New Roman Regular"/>
          <w:b/>
          <w:bCs/>
          <w:sz w:val="28"/>
          <w:szCs w:val="28"/>
          <w:highlight w:val="none"/>
        </w:rPr>
        <w:t xml:space="preserve"> Wenzhou International Design Biennial</w:t>
      </w:r>
    </w:p>
    <w:p w14:paraId="3046F9F0">
      <w:pPr>
        <w:jc w:val="center"/>
        <w:rPr>
          <w:rFonts w:hint="default" w:ascii="Times New Roman Regular" w:hAnsi="Times New Roman Regular" w:cs="Times New Roman Regular"/>
          <w:b/>
          <w:bCs/>
          <w:sz w:val="28"/>
          <w:szCs w:val="28"/>
          <w:highlight w:val="none"/>
          <w:lang w:val="en-US"/>
        </w:rPr>
      </w:pPr>
      <w:r>
        <w:rPr>
          <w:rFonts w:hint="default" w:ascii="Times New Roman Regular" w:hAnsi="Times New Roman Regular" w:cs="Times New Roman Regular"/>
          <w:b/>
          <w:bCs/>
          <w:sz w:val="28"/>
          <w:szCs w:val="28"/>
          <w:highlight w:val="none"/>
        </w:rPr>
        <w:t xml:space="preserve">Requirements and </w:t>
      </w:r>
      <w:r>
        <w:rPr>
          <w:rFonts w:hint="default" w:ascii="Times New Roman Regular" w:hAnsi="Times New Roman Regular" w:cs="Times New Roman Regular"/>
          <w:b/>
          <w:bCs/>
          <w:sz w:val="28"/>
          <w:szCs w:val="28"/>
          <w:highlight w:val="none"/>
          <w:lang w:val="en-US"/>
        </w:rPr>
        <w:t>S</w:t>
      </w:r>
      <w:r>
        <w:rPr>
          <w:rFonts w:hint="default" w:ascii="Times New Roman Regular" w:hAnsi="Times New Roman Regular" w:cs="Times New Roman Regular"/>
          <w:b/>
          <w:bCs/>
          <w:sz w:val="28"/>
          <w:szCs w:val="28"/>
          <w:highlight w:val="none"/>
        </w:rPr>
        <w:t xml:space="preserve">pecifications for </w:t>
      </w:r>
      <w:r>
        <w:rPr>
          <w:rFonts w:hint="default" w:ascii="Times New Roman Regular" w:hAnsi="Times New Roman Regular" w:cs="Times New Roman Regular"/>
          <w:b/>
          <w:bCs/>
          <w:sz w:val="28"/>
          <w:szCs w:val="28"/>
          <w:highlight w:val="none"/>
          <w:lang w:val="en-US"/>
        </w:rPr>
        <w:t>E</w:t>
      </w:r>
      <w:r>
        <w:rPr>
          <w:rFonts w:hint="default" w:ascii="Times New Roman Regular" w:hAnsi="Times New Roman Regular" w:cs="Times New Roman Regular"/>
          <w:b/>
          <w:bCs/>
          <w:sz w:val="28"/>
          <w:szCs w:val="28"/>
          <w:highlight w:val="none"/>
        </w:rPr>
        <w:t xml:space="preserve">nvironmental </w:t>
      </w:r>
      <w:r>
        <w:rPr>
          <w:rFonts w:hint="default" w:ascii="Times New Roman Regular" w:hAnsi="Times New Roman Regular" w:cs="Times New Roman Regular"/>
          <w:b/>
          <w:bCs/>
          <w:sz w:val="28"/>
          <w:szCs w:val="28"/>
          <w:highlight w:val="none"/>
          <w:lang w:val="en-US"/>
        </w:rPr>
        <w:t>A</w:t>
      </w:r>
      <w:r>
        <w:rPr>
          <w:rFonts w:hint="default" w:ascii="Times New Roman Regular" w:hAnsi="Times New Roman Regular" w:cs="Times New Roman Regular"/>
          <w:b/>
          <w:bCs/>
          <w:sz w:val="28"/>
          <w:szCs w:val="28"/>
          <w:highlight w:val="none"/>
        </w:rPr>
        <w:t>rt</w:t>
      </w:r>
      <w:r>
        <w:rPr>
          <w:rFonts w:hint="default" w:ascii="Times New Roman Regular" w:hAnsi="Times New Roman Regular" w:cs="Times New Roman Regular"/>
          <w:b/>
          <w:bCs/>
          <w:sz w:val="28"/>
          <w:szCs w:val="28"/>
          <w:highlight w:val="none"/>
          <w:lang w:val="en-US"/>
        </w:rPr>
        <w:t xml:space="preserve"> D</w:t>
      </w:r>
      <w:r>
        <w:rPr>
          <w:rFonts w:hint="default" w:ascii="Times New Roman Regular" w:hAnsi="Times New Roman Regular" w:cs="Times New Roman Regular"/>
          <w:b/>
          <w:bCs/>
          <w:sz w:val="28"/>
          <w:szCs w:val="28"/>
          <w:highlight w:val="none"/>
        </w:rPr>
        <w:t>esign</w:t>
      </w:r>
      <w:r>
        <w:rPr>
          <w:rFonts w:hint="default" w:ascii="Times New Roman Regular" w:hAnsi="Times New Roman Regular" w:cs="Times New Roman Regular"/>
          <w:b/>
          <w:bCs/>
          <w:sz w:val="28"/>
          <w:szCs w:val="28"/>
          <w:highlight w:val="none"/>
          <w:lang w:val="en-US"/>
        </w:rPr>
        <w:t xml:space="preserve"> Group</w:t>
      </w:r>
    </w:p>
    <w:p w14:paraId="08F516D6">
      <w:pPr>
        <w:rPr>
          <w:rFonts w:hint="default" w:ascii="Times New Roman Regular" w:hAnsi="Times New Roman Regular" w:cs="Times New Roman Regular"/>
          <w:b/>
          <w:bCs/>
          <w:highlight w:val="none"/>
        </w:rPr>
      </w:pPr>
    </w:p>
    <w:p w14:paraId="3CB1C7FC">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1. Scope</w:t>
      </w:r>
      <w:r>
        <w:rPr>
          <w:rFonts w:hint="default" w:ascii="Times New Roman Regular" w:hAnsi="Times New Roman Regular" w:cs="Times New Roman Regular"/>
          <w:b/>
          <w:bCs/>
          <w:highlight w:val="none"/>
          <w:lang w:val="en-US"/>
        </w:rPr>
        <w:t xml:space="preserve"> of works</w:t>
      </w:r>
    </w:p>
    <w:p w14:paraId="053C3953">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 xml:space="preserve">1.1. </w:t>
      </w:r>
      <w:r>
        <w:rPr>
          <w:rFonts w:hint="default" w:ascii="Times New Roman Regular" w:hAnsi="Times New Roman Regular" w:cs="Times New Roman Regular"/>
          <w:highlight w:val="none"/>
          <w:lang w:val="en-US"/>
        </w:rPr>
        <w:t xml:space="preserve">Collect design with </w:t>
      </w:r>
      <w:r>
        <w:rPr>
          <w:rFonts w:hint="default" w:ascii="Times New Roman Regular" w:hAnsi="Times New Roman Regular" w:cs="Times New Roman Regular"/>
          <w:highlight w:val="none"/>
          <w:lang w:val="en-US"/>
        </w:rPr>
        <w:t>t</w:t>
      </w:r>
      <w:r>
        <w:rPr>
          <w:rFonts w:hint="default" w:ascii="Times New Roman Regular" w:hAnsi="Times New Roman Regular" w:cs="Times New Roman Regular"/>
          <w:highlight w:val="none"/>
        </w:rPr>
        <w:t>he integration of traditional culture and modern technology, centered around green cities, smart cities, and cultural cities, includes but is not limited to regional landscape environments, indoor and outdoor architectural decorations, and cultural innovations such as commercial spaces, livable spaces, community renovations, ecological communities, and cultural towns.</w:t>
      </w:r>
    </w:p>
    <w:p w14:paraId="2249AC2B">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 xml:space="preserve">1.2. </w:t>
      </w:r>
      <w:r>
        <w:rPr>
          <w:rFonts w:hint="default" w:ascii="Times New Roman Regular" w:hAnsi="Times New Roman Regular" w:cs="Times New Roman Regular"/>
          <w:highlight w:val="none"/>
          <w:lang w:val="en-US"/>
        </w:rPr>
        <w:t xml:space="preserve">Collect design that </w:t>
      </w:r>
      <w:r>
        <w:rPr>
          <w:rFonts w:hint="default" w:ascii="Times New Roman Regular" w:hAnsi="Times New Roman Regular" w:cs="Times New Roman Regular"/>
          <w:highlight w:val="none"/>
          <w:lang w:val="en-US"/>
        </w:rPr>
        <w:t>h</w:t>
      </w:r>
      <w:r>
        <w:rPr>
          <w:rFonts w:hint="default" w:ascii="Times New Roman Regular" w:hAnsi="Times New Roman Regular" w:cs="Times New Roman Regular"/>
          <w:highlight w:val="none"/>
        </w:rPr>
        <w:t>ighlight public</w:t>
      </w:r>
      <w:r>
        <w:rPr>
          <w:rFonts w:hint="eastAsia" w:ascii="Times New Roman Regular" w:hAnsi="Times New Roman Regular" w:cs="Times New Roman Regular"/>
          <w:highlight w:val="none"/>
          <w:lang w:val="en-US" w:eastAsia="zh-CN"/>
        </w:rPr>
        <w:t>itiy</w:t>
      </w:r>
      <w:r>
        <w:rPr>
          <w:rFonts w:hint="default" w:ascii="Times New Roman Regular" w:hAnsi="Times New Roman Regular" w:cs="Times New Roman Regular"/>
          <w:highlight w:val="none"/>
        </w:rPr>
        <w:t xml:space="preserve"> and openness, enhance the interaction between citizens and buildings, create a vibrant atmosphere in the area, and drive the district to become a highly popular and culturally innovative cultural block and community design.</w:t>
      </w:r>
    </w:p>
    <w:p w14:paraId="4549311F">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 xml:space="preserve">1.3. </w:t>
      </w:r>
      <w:r>
        <w:rPr>
          <w:rFonts w:hint="default" w:ascii="Times New Roman Regular" w:hAnsi="Times New Roman Regular" w:cs="Times New Roman Regular"/>
          <w:highlight w:val="none"/>
          <w:lang w:val="en-US"/>
        </w:rPr>
        <w:t xml:space="preserve">Collect design related </w:t>
      </w:r>
      <w:r>
        <w:rPr>
          <w:rFonts w:hint="eastAsia" w:ascii="Times New Roman Regular" w:hAnsi="Times New Roman Regular" w:cs="Times New Roman Regular"/>
          <w:highlight w:val="none"/>
          <w:lang w:val="en-US" w:eastAsia="zh-CN"/>
        </w:rPr>
        <w:t>with</w:t>
      </w:r>
      <w:r>
        <w:rPr>
          <w:rFonts w:hint="default" w:ascii="Times New Roman Regular" w:hAnsi="Times New Roman Regular" w:cs="Times New Roman Regular"/>
          <w:highlight w:val="none"/>
        </w:rPr>
        <w:t xml:space="preserve"> the revitalization of rural areas, showcase folk culture and art, and solicit buildings with rich local cultural characteristics, including but not limited to rural residences, homestays, cultural halls, and indoor and outdoor designs.</w:t>
      </w:r>
    </w:p>
    <w:p w14:paraId="7E0E94DD">
      <w:pPr>
        <w:rPr>
          <w:rFonts w:hint="default" w:ascii="Times New Roman Regular" w:hAnsi="Times New Roman Regular" w:cs="Times New Roman Regular"/>
          <w:b/>
          <w:bCs/>
          <w:highlight w:val="none"/>
        </w:rPr>
      </w:pPr>
    </w:p>
    <w:p w14:paraId="133D9F2F">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 xml:space="preserve">2. </w:t>
      </w:r>
      <w:r>
        <w:rPr>
          <w:rFonts w:hint="default" w:ascii="Times New Roman Regular" w:hAnsi="Times New Roman Regular" w:cs="Times New Roman Regular"/>
          <w:b/>
          <w:bCs/>
          <w:highlight w:val="none"/>
          <w:lang w:val="en-US" w:eastAsia="zh-CN"/>
        </w:rPr>
        <w:t>S</w:t>
      </w:r>
      <w:r>
        <w:rPr>
          <w:rFonts w:hint="default" w:ascii="Times New Roman Regular" w:hAnsi="Times New Roman Regular" w:cs="Times New Roman Regular"/>
          <w:b/>
          <w:bCs/>
          <w:highlight w:val="none"/>
        </w:rPr>
        <w:t>pecifications</w:t>
      </w:r>
      <w:r>
        <w:rPr>
          <w:rFonts w:hint="default" w:ascii="Times New Roman Regular" w:hAnsi="Times New Roman Regular" w:cs="Times New Roman Regular"/>
          <w:b/>
          <w:bCs/>
          <w:highlight w:val="none"/>
          <w:lang w:val="en-US"/>
        </w:rPr>
        <w:t xml:space="preserve"> of submission</w:t>
      </w:r>
    </w:p>
    <w:p w14:paraId="4FD6C859">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2.1. Pictures of environmental art exhibition boards:</w:t>
      </w:r>
    </w:p>
    <w:p w14:paraId="6B14E9FC">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Two exhibition boards with a vertical layout of 800mm × 1200mm and a resolution of 300dpi. The image content should include but not be limited to simple design explanations, design schemes, and real-life materials.</w:t>
      </w:r>
    </w:p>
    <w:p w14:paraId="27140E14">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image format should be unified as jpg or CMYK mode, and the size of a single image should not exceed 80M. The environmental art plate should include a brief design description that can assist in explaining the design intention and features of the work. The number of characters is not limited, but the language and text should be in Chinese (traditional or simplified) or English. The display board should have a graphic recognition template for the Wenzhou International Design Biennial Competition, which can be downloaded from the official website</w:t>
      </w:r>
      <w:r>
        <w:rPr>
          <w:rFonts w:hint="default" w:ascii="Times New Roman Regular" w:hAnsi="Times New Roman Regular" w:cs="Times New Roman Regular"/>
          <w:highlight w:val="none"/>
          <w:lang w:val="en-US"/>
        </w:rPr>
        <w:t xml:space="preserve"> </w:t>
      </w:r>
      <w:r>
        <w:rPr>
          <w:rFonts w:hint="default" w:ascii="Times New Roman Regular" w:hAnsi="Times New Roman Regular" w:cs="Times New Roman Regular"/>
          <w:highlight w:val="none"/>
        </w:rPr>
        <w:t>(http://wzdb. zjcst. edu. cn/). As shown in the following figure;</w:t>
      </w:r>
    </w:p>
    <w:p w14:paraId="0318A3C6">
      <w:pPr>
        <w:jc w:val="cente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drawing>
          <wp:inline distT="0" distB="0" distL="114300" distR="114300">
            <wp:extent cx="1450340" cy="2149475"/>
            <wp:effectExtent l="0" t="0" r="2286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50340" cy="2149475"/>
                    </a:xfrm>
                    <a:prstGeom prst="rect">
                      <a:avLst/>
                    </a:prstGeom>
                    <a:noFill/>
                    <a:ln>
                      <a:noFill/>
                    </a:ln>
                  </pic:spPr>
                </pic:pic>
              </a:graphicData>
            </a:graphic>
          </wp:inline>
        </w:drawing>
      </w:r>
    </w:p>
    <w:p w14:paraId="1F646D8A">
      <w:pPr>
        <w:rPr>
          <w:rFonts w:hint="default" w:ascii="Times New Roman Regular" w:hAnsi="Times New Roman Regular" w:cs="Times New Roman Regular"/>
          <w:highlight w:val="none"/>
        </w:rPr>
      </w:pPr>
      <w:r>
        <w:rPr>
          <w:rFonts w:hint="default" w:ascii="Times New Roman Regular" w:hAnsi="Times New Roman Regular" w:cs="Times New Roman Regular"/>
          <w:b/>
          <w:bCs/>
          <w:highlight w:val="none"/>
        </w:rPr>
        <w:t>2.2. Works review images</w:t>
      </w:r>
      <w:r>
        <w:rPr>
          <w:rFonts w:hint="default" w:ascii="Times New Roman Regular" w:hAnsi="Times New Roman Regular" w:cs="Times New Roman Regular"/>
          <w:highlight w:val="none"/>
        </w:rPr>
        <w:t xml:space="preserve"> </w:t>
      </w:r>
    </w:p>
    <w:p w14:paraId="4DA6B960">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image format should be unified as JPG, with one 210mm * 290mm image and a brief design description attached. Horizontal and vertical unlimited, resolution of 300dpi, RGB mode. The size of a single image should not exceed 20M.</w:t>
      </w:r>
    </w:p>
    <w:p w14:paraId="13361918">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2.3 Video file description</w:t>
      </w:r>
    </w:p>
    <w:p w14:paraId="229D6FFC">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Additional videos and roaming animations can be added, which is an additional item and not a mandatory requirement. The video format is MP4, and the demonstration video in the same competition topic should not exceed 100M, not be less than 20M, with a clarity of 1080p, a time limit of no more than 5 minutes, and a display ratio of 16:9 to ensure image quality.</w:t>
      </w:r>
    </w:p>
    <w:p w14:paraId="55595E33">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2.4. Work description</w:t>
      </w:r>
    </w:p>
    <w:p w14:paraId="043C062F">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lang w:val="en-US"/>
        </w:rPr>
        <w:t>T</w:t>
      </w:r>
      <w:r>
        <w:rPr>
          <w:rFonts w:hint="default" w:ascii="Times New Roman Regular" w:hAnsi="Times New Roman Regular" w:cs="Times New Roman Regular"/>
          <w:highlight w:val="none"/>
          <w:lang w:val="en-US"/>
        </w:rPr>
        <w:t>he description should be</w:t>
      </w:r>
      <w:r>
        <w:rPr>
          <w:rFonts w:hint="default" w:ascii="Times New Roman Regular" w:hAnsi="Times New Roman Regular" w:cs="Times New Roman Regular"/>
          <w:highlight w:val="none"/>
          <w:lang w:val="en-US"/>
        </w:rPr>
        <w:t xml:space="preserve"> within 200 words and </w:t>
      </w:r>
      <w:r>
        <w:rPr>
          <w:rFonts w:hint="default" w:ascii="Times New Roman Regular" w:hAnsi="Times New Roman Regular" w:cs="Times New Roman Regular"/>
          <w:highlight w:val="none"/>
        </w:rPr>
        <w:t>able to clearly express the creativity and content of the work.</w:t>
      </w:r>
    </w:p>
    <w:p w14:paraId="0B8FDCD9">
      <w:pPr>
        <w:rPr>
          <w:rFonts w:hint="default" w:ascii="Times New Roman Regular" w:hAnsi="Times New Roman Regular" w:cs="Times New Roman Regular"/>
          <w:highlight w:val="none"/>
        </w:rPr>
      </w:pPr>
    </w:p>
    <w:p w14:paraId="2D9B1BF7">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3. Award Setting</w:t>
      </w:r>
    </w:p>
    <w:p w14:paraId="1E71AFDD">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This competition has two groups: professional group and student group</w:t>
      </w:r>
      <w:r>
        <w:rPr>
          <w:rFonts w:hint="default" w:ascii="Times New Roman Regular" w:hAnsi="Times New Roman Regular" w:cs="Times New Roman Regular"/>
          <w:highlight w:val="none"/>
          <w:lang w:val="en-US"/>
        </w:rPr>
        <w:t xml:space="preserve">, </w:t>
      </w:r>
      <w:r>
        <w:rPr>
          <w:rFonts w:hint="default" w:ascii="Times New Roman Regular" w:hAnsi="Times New Roman Regular" w:cs="Times New Roman Regular"/>
          <w:highlight w:val="none"/>
          <w:lang w:val="en-US"/>
        </w:rPr>
        <w:t>which will be evaluated separately,</w:t>
      </w:r>
      <w:r>
        <w:rPr>
          <w:rFonts w:hint="default" w:ascii="Times New Roman Regular" w:hAnsi="Times New Roman Regular" w:cs="Times New Roman Regular"/>
          <w:highlight w:val="none"/>
        </w:rPr>
        <w:t xml:space="preserve"> each with one gold award, two silver awards, three bronze awards, and several excellent awards. Winners will receive a certificate of award and corresponding prize money (before tax).</w:t>
      </w:r>
    </w:p>
    <w:p w14:paraId="67FDCD9C">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bonus amount is as follows:</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494"/>
        <w:gridCol w:w="1709"/>
        <w:gridCol w:w="1179"/>
        <w:gridCol w:w="1218"/>
        <w:gridCol w:w="1516"/>
      </w:tblGrid>
      <w:tr w14:paraId="287B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7"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B883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cs="Times New Roman Regular"/>
                <w:b/>
                <w:bCs/>
                <w:color w:val="333333"/>
                <w:sz w:val="21"/>
                <w:szCs w:val="21"/>
                <w:highlight w:val="none"/>
                <w:u w:val="none"/>
                <w:lang w:val="en-US" w:eastAsia="zh-CN"/>
              </w:rPr>
              <w:t>C</w:t>
            </w:r>
            <w:r>
              <w:rPr>
                <w:rFonts w:hint="default" w:ascii="Times New Roman Regular" w:hAnsi="Times New Roman Regular" w:eastAsia="宋体" w:cs="Times New Roman Regular"/>
                <w:b/>
                <w:bCs/>
                <w:color w:val="333333"/>
                <w:sz w:val="21"/>
                <w:szCs w:val="21"/>
                <w:highlight w:val="none"/>
                <w:u w:val="none"/>
                <w:lang w:val="en-US" w:eastAsia="zh-CN"/>
              </w:rPr>
              <w:t>ategory</w:t>
            </w:r>
          </w:p>
        </w:tc>
        <w:tc>
          <w:tcPr>
            <w:tcW w:w="1709"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05B9DC3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0" w:firstLineChars="0"/>
              <w:jc w:val="left"/>
              <w:textAlignment w:val="auto"/>
              <w:rPr>
                <w:rFonts w:hint="default" w:ascii="Times New Roman Regular" w:hAnsi="Times New Roman Regular" w:eastAsia="宋体" w:cs="Times New Roman Regular"/>
                <w:b/>
                <w:bCs/>
                <w:sz w:val="21"/>
                <w:szCs w:val="21"/>
                <w:highlight w:val="none"/>
                <w:u w:val="none"/>
                <w:lang w:val="en-US" w:eastAsia="zh-CN"/>
              </w:rPr>
            </w:pPr>
            <w:r>
              <w:rPr>
                <w:rFonts w:hint="default" w:ascii="Times New Roman Regular" w:hAnsi="Times New Roman Regular" w:eastAsia="宋体" w:cs="Times New Roman Regular"/>
                <w:b/>
                <w:bCs/>
                <w:sz w:val="21"/>
                <w:szCs w:val="21"/>
                <w:highlight w:val="none"/>
                <w:u w:val="none"/>
                <w:lang w:val="en-US" w:eastAsia="zh-CN"/>
              </w:rPr>
              <w:t>Group</w:t>
            </w:r>
          </w:p>
        </w:tc>
        <w:tc>
          <w:tcPr>
            <w:tcW w:w="1179"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7E74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cs="Times New Roman Regular"/>
                <w:b/>
                <w:bCs/>
                <w:color w:val="333333"/>
                <w:sz w:val="21"/>
                <w:szCs w:val="21"/>
                <w:highlight w:val="none"/>
                <w:u w:val="none"/>
                <w:lang w:val="en-US"/>
              </w:rPr>
              <w:t>G</w:t>
            </w:r>
            <w:r>
              <w:rPr>
                <w:rFonts w:hint="default" w:ascii="Times New Roman Regular" w:hAnsi="Times New Roman Regular" w:eastAsia="宋体" w:cs="Times New Roman Regular"/>
                <w:b/>
                <w:bCs/>
                <w:color w:val="333333"/>
                <w:sz w:val="21"/>
                <w:szCs w:val="21"/>
                <w:highlight w:val="none"/>
                <w:u w:val="none"/>
              </w:rPr>
              <w:t xml:space="preserve">old </w:t>
            </w:r>
            <w:r>
              <w:rPr>
                <w:rFonts w:hint="default" w:ascii="Times New Roman Regular" w:hAnsi="Times New Roman Regular" w:cs="Times New Roman Regular"/>
                <w:b/>
                <w:bCs/>
                <w:color w:val="333333"/>
                <w:sz w:val="21"/>
                <w:szCs w:val="21"/>
                <w:highlight w:val="none"/>
                <w:u w:val="none"/>
                <w:lang w:val="en-US"/>
              </w:rPr>
              <w:t>A</w:t>
            </w:r>
            <w:r>
              <w:rPr>
                <w:rFonts w:hint="default" w:ascii="Times New Roman Regular" w:hAnsi="Times New Roman Regular" w:eastAsia="宋体" w:cs="Times New Roman Regular"/>
                <w:b/>
                <w:bCs/>
                <w:color w:val="333333"/>
                <w:sz w:val="21"/>
                <w:szCs w:val="21"/>
                <w:highlight w:val="none"/>
                <w:u w:val="none"/>
              </w:rPr>
              <w:t>ward</w:t>
            </w:r>
          </w:p>
        </w:tc>
        <w:tc>
          <w:tcPr>
            <w:tcW w:w="1218"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597B13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Silver Award</w:t>
            </w:r>
          </w:p>
        </w:tc>
        <w:tc>
          <w:tcPr>
            <w:tcW w:w="1516"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516885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Bronze Award</w:t>
            </w:r>
          </w:p>
        </w:tc>
      </w:tr>
      <w:tr w14:paraId="2D1A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7" w:type="dxa"/>
            <w:vMerge w:val="restart"/>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10C90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lang w:val="en-US"/>
              </w:rPr>
              <w:t>E</w:t>
            </w:r>
            <w:r>
              <w:rPr>
                <w:rFonts w:hint="default" w:ascii="Times New Roman Regular" w:hAnsi="Times New Roman Regular" w:eastAsia="宋体" w:cs="Times New Roman Regular"/>
                <w:b/>
                <w:bCs/>
                <w:color w:val="333333"/>
                <w:sz w:val="21"/>
                <w:szCs w:val="21"/>
                <w:highlight w:val="none"/>
                <w:u w:val="none"/>
              </w:rPr>
              <w:t xml:space="preserve">nvironmental </w:t>
            </w:r>
            <w:r>
              <w:rPr>
                <w:rFonts w:hint="default" w:ascii="Times New Roman Regular" w:hAnsi="Times New Roman Regular" w:eastAsia="宋体" w:cs="Times New Roman Regular"/>
                <w:b/>
                <w:bCs/>
                <w:color w:val="333333"/>
                <w:sz w:val="21"/>
                <w:szCs w:val="21"/>
                <w:highlight w:val="none"/>
                <w:u w:val="none"/>
                <w:lang w:val="en-US"/>
              </w:rPr>
              <w:t>A</w:t>
            </w:r>
            <w:r>
              <w:rPr>
                <w:rFonts w:hint="default" w:ascii="Times New Roman Regular" w:hAnsi="Times New Roman Regular" w:eastAsia="宋体" w:cs="Times New Roman Regular"/>
                <w:b/>
                <w:bCs/>
                <w:color w:val="333333"/>
                <w:sz w:val="21"/>
                <w:szCs w:val="21"/>
                <w:highlight w:val="none"/>
                <w:u w:val="none"/>
              </w:rPr>
              <w:t>rt</w:t>
            </w:r>
            <w:r>
              <w:rPr>
                <w:rFonts w:hint="default" w:ascii="Times New Roman Regular" w:hAnsi="Times New Roman Regular" w:eastAsia="宋体" w:cs="Times New Roman Regular"/>
                <w:b/>
                <w:bCs/>
                <w:color w:val="333333"/>
                <w:sz w:val="21"/>
                <w:szCs w:val="21"/>
                <w:highlight w:val="none"/>
                <w:u w:val="none"/>
                <w:lang w:val="en-US"/>
              </w:rPr>
              <w:t xml:space="preserve"> D</w:t>
            </w:r>
            <w:r>
              <w:rPr>
                <w:rFonts w:hint="default" w:ascii="Times New Roman Regular" w:hAnsi="Times New Roman Regular" w:eastAsia="宋体" w:cs="Times New Roman Regular"/>
                <w:b/>
                <w:bCs/>
                <w:color w:val="333333"/>
                <w:sz w:val="21"/>
                <w:szCs w:val="21"/>
                <w:highlight w:val="none"/>
                <w:u w:val="none"/>
              </w:rPr>
              <w:t>esign</w:t>
            </w:r>
          </w:p>
        </w:tc>
        <w:tc>
          <w:tcPr>
            <w:tcW w:w="1709"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338D6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 xml:space="preserve">Professional Group </w:t>
            </w:r>
          </w:p>
        </w:tc>
        <w:tc>
          <w:tcPr>
            <w:tcW w:w="1179"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1058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5000</w:t>
            </w:r>
          </w:p>
        </w:tc>
        <w:tc>
          <w:tcPr>
            <w:tcW w:w="1218"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4DFEF4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3000</w:t>
            </w:r>
          </w:p>
        </w:tc>
        <w:tc>
          <w:tcPr>
            <w:tcW w:w="1516"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01B90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1000</w:t>
            </w:r>
          </w:p>
        </w:tc>
      </w:tr>
      <w:tr w14:paraId="2084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387" w:type="dxa"/>
            <w:vMerge w:val="continue"/>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243301C5">
            <w:pPr>
              <w:keepNext w:val="0"/>
              <w:keepLines w:val="0"/>
              <w:pageBreakBefore w:val="0"/>
              <w:widowControl/>
              <w:kinsoku/>
              <w:wordWrap/>
              <w:overflowPunct/>
              <w:topLinePunct w:val="0"/>
              <w:autoSpaceDE/>
              <w:autoSpaceDN/>
              <w:bidi w:val="0"/>
              <w:adjustRightInd/>
              <w:snapToGrid/>
              <w:spacing w:before="0" w:after="0" w:line="360" w:lineRule="exact"/>
              <w:ind w:firstLine="0" w:firstLineChars="0"/>
              <w:jc w:val="left"/>
              <w:textAlignment w:val="auto"/>
              <w:rPr>
                <w:rFonts w:hint="default" w:ascii="Times New Roman Regular" w:hAnsi="Times New Roman Regular" w:eastAsia="宋体" w:cs="Times New Roman Regular"/>
                <w:sz w:val="21"/>
                <w:szCs w:val="21"/>
                <w:highlight w:val="none"/>
                <w:u w:val="none"/>
              </w:rPr>
            </w:pPr>
          </w:p>
        </w:tc>
        <w:tc>
          <w:tcPr>
            <w:tcW w:w="1709"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7F1052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Student group</w:t>
            </w:r>
          </w:p>
        </w:tc>
        <w:tc>
          <w:tcPr>
            <w:tcW w:w="1179"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486EB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2000</w:t>
            </w:r>
          </w:p>
        </w:tc>
        <w:tc>
          <w:tcPr>
            <w:tcW w:w="1218"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23541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1000</w:t>
            </w:r>
          </w:p>
        </w:tc>
        <w:tc>
          <w:tcPr>
            <w:tcW w:w="1516"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21E12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800</w:t>
            </w:r>
          </w:p>
        </w:tc>
      </w:tr>
    </w:tbl>
    <w:p w14:paraId="263565F6">
      <w:pPr>
        <w:rPr>
          <w:rFonts w:hint="default" w:ascii="Times New Roman Regular" w:hAnsi="Times New Roman Regular" w:cs="Times New Roman Regular"/>
          <w:highlight w:val="none"/>
        </w:rPr>
      </w:pPr>
    </w:p>
    <w:p w14:paraId="65A148F5">
      <w:pPr>
        <w:rPr>
          <w:rFonts w:hint="default" w:ascii="Times New Roman Regular" w:hAnsi="Times New Roman Regular" w:cs="Times New Roman Regula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81C0F"/>
    <w:rsid w:val="1FEFD977"/>
    <w:rsid w:val="32781C0F"/>
    <w:rsid w:val="3D7901DF"/>
    <w:rsid w:val="6F7F57AE"/>
    <w:rsid w:val="76CBC8C9"/>
    <w:rsid w:val="7C2D0B47"/>
    <w:rsid w:val="7D7B8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499</Words>
  <Characters>2758</Characters>
  <Lines>0</Lines>
  <Paragraphs>0</Paragraphs>
  <TotalTime>1</TotalTime>
  <ScaleCrop>false</ScaleCrop>
  <LinksUpToDate>false</LinksUpToDate>
  <CharactersWithSpaces>3225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2026-05-07T22:19:00Z</dcterms:created>
  <dc:creator>陈旭</dc:creator>
  <cp:lastModifiedBy>陈旭</cp:lastModifiedBy>
  <dcterms:modified xsi:type="dcterms:W3CDTF">2026-05-15T04:11:01Z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56162FC8E54D4BA887C2841F8AB8CC74_11</vt:lpwstr>
  </property>
  <property fmtid="{D5CDD505-2E9C-101B-9397-08002B2CF9AE}" pid="4" name="KSOTemplateDocerSaveRecord">
    <vt:lpwstr>eyJoZGlkIjoiNjU0YzMwYjZkY2EwYjhmNGJiNjJmZjFhNWViNmI4NDMiLCJ1c2VySWQiOiI1MDY0NjUyOTUifQ==</vt:lpwstr>
  </property>
</Properties>
</file>